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DE" w:rsidRPr="00F712ED" w:rsidRDefault="0016514F" w:rsidP="002503DE">
      <w:pPr>
        <w:jc w:val="center"/>
        <w:rPr>
          <w:noProof/>
          <w:lang w:val="tr-TR" w:eastAsia="tr-TR" w:bidi="ar-SA"/>
        </w:rPr>
      </w:pPr>
      <w:r>
        <w:rPr>
          <w:noProof/>
          <w:lang w:val="tr-TR" w:eastAsia="tr-TR" w:bidi="ar-SA"/>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ge">
                  <wp:posOffset>1616710</wp:posOffset>
                </wp:positionV>
                <wp:extent cx="6766560" cy="171450"/>
                <wp:effectExtent l="0" t="0" r="1524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03DE" w:rsidRPr="002F7F76" w:rsidRDefault="002503DE" w:rsidP="00C7583E">
                            <w:pPr>
                              <w:pBdr>
                                <w:bottom w:val="single" w:sz="4" w:space="1" w:color="auto"/>
                              </w:pBd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00D66A38" w:rsidRPr="00D66A38">
                              <w:rPr>
                                <w:rFonts w:ascii="Arial" w:eastAsia="Times New Roman" w:hAnsi="Arial"/>
                                <w:color w:val="000000"/>
                                <w:sz w:val="17"/>
                                <w:szCs w:val="17"/>
                                <w:lang w:val="tr-TR"/>
                              </w:rPr>
                              <w:t>Bostancı Mahallesi E 80 Yanyol Cd.  No: 2</w:t>
                            </w:r>
                            <w:r w:rsidR="00D66A38">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 34744 Bostancı-Kadıköy-İstanbul Tel: (216) 380 8590 Fax: (216) 373 </w:t>
                            </w:r>
                            <w:r>
                              <w:rPr>
                                <w:rFonts w:ascii="Arial" w:eastAsia="Times New Roman" w:hAnsi="Arial"/>
                                <w:color w:val="000000"/>
                                <w:sz w:val="17"/>
                                <w:szCs w:val="17"/>
                                <w:lang w:val="tr-TR"/>
                              </w:rPr>
                              <w:t>65</w:t>
                            </w:r>
                            <w:r w:rsidRPr="002F7F76">
                              <w:rPr>
                                <w:rFonts w:ascii="Arial" w:eastAsia="Times New Roman" w:hAnsi="Arial"/>
                                <w:color w:val="000000"/>
                                <w:sz w:val="17"/>
                                <w:szCs w:val="17"/>
                                <w:lang w:val="tr-TR"/>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55pt;margin-top:127.3pt;width:532.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" filled="f" stroked="f" strokeweight="0">
                <v:textbox inset="0,0,0,0">
                  <w:txbxContent>
                    <w:p w:rsidR="002503DE" w:rsidRPr="002F7F76" w:rsidRDefault="002503DE" w:rsidP="00C7583E">
                      <w:pPr>
                        <w:pBdr>
                          <w:bottom w:val="single" w:sz="4" w:space="1" w:color="auto"/>
                        </w:pBd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00D66A38" w:rsidRPr="00D66A38">
                        <w:rPr>
                          <w:rFonts w:ascii="Arial" w:eastAsia="Times New Roman" w:hAnsi="Arial"/>
                          <w:color w:val="000000"/>
                          <w:sz w:val="17"/>
                          <w:szCs w:val="17"/>
                          <w:lang w:val="tr-TR"/>
                        </w:rPr>
                        <w:t>Bostancı Mahallesi E 80 Yanyol Cd.  No: 2</w:t>
                      </w:r>
                      <w:r w:rsidR="00D66A38">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 34744 Bostancı-Kadıköy-İstanbul Tel: (216) 380 8590 Fax: (216) 373 </w:t>
                      </w:r>
                      <w:r>
                        <w:rPr>
                          <w:rFonts w:ascii="Arial" w:eastAsia="Times New Roman" w:hAnsi="Arial"/>
                          <w:color w:val="000000"/>
                          <w:sz w:val="17"/>
                          <w:szCs w:val="17"/>
                          <w:lang w:val="tr-TR"/>
                        </w:rPr>
                        <w:t>65</w:t>
                      </w:r>
                      <w:r w:rsidRPr="002F7F76">
                        <w:rPr>
                          <w:rFonts w:ascii="Arial" w:eastAsia="Times New Roman" w:hAnsi="Arial"/>
                          <w:color w:val="000000"/>
                          <w:sz w:val="17"/>
                          <w:szCs w:val="17"/>
                          <w:lang w:val="tr-TR"/>
                        </w:rPr>
                        <w:t>02</w:t>
                      </w:r>
                    </w:p>
                  </w:txbxContent>
                </v:textbox>
                <w10:wrap anchory="page"/>
              </v:rect>
            </w:pict>
          </mc:Fallback>
        </mc:AlternateContent>
      </w:r>
      <w:r w:rsidR="002503DE" w:rsidRPr="00F712ED">
        <w:rPr>
          <w:rFonts w:ascii="Times New Roman" w:hAnsi="Times New Roman"/>
          <w:noProof/>
          <w:sz w:val="25"/>
          <w:szCs w:val="25"/>
          <w:lang w:val="tr-TR" w:eastAsia="tr-TR" w:bidi="ar-SA"/>
        </w:rPr>
        <w:drawing>
          <wp:inline distT="0" distB="0" distL="0" distR="0">
            <wp:extent cx="6115050" cy="1057275"/>
            <wp:effectExtent l="19050" t="0" r="0" b="0"/>
            <wp:docPr id="1" name="Resim 1" descr="logo_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ntetli"/>
                    <pic:cNvPicPr>
                      <a:picLocks noChangeAspect="1" noChangeArrowheads="1"/>
                    </pic:cNvPicPr>
                  </pic:nvPicPr>
                  <pic:blipFill>
                    <a:blip r:embed="rId8" cstate="print"/>
                    <a:srcRect/>
                    <a:stretch>
                      <a:fillRect/>
                    </a:stretch>
                  </pic:blipFill>
                  <pic:spPr bwMode="auto">
                    <a:xfrm>
                      <a:off x="0" y="0"/>
                      <a:ext cx="6115050" cy="1057275"/>
                    </a:xfrm>
                    <a:prstGeom prst="rect">
                      <a:avLst/>
                    </a:prstGeom>
                    <a:noFill/>
                    <a:ln w="9525">
                      <a:noFill/>
                      <a:miter lim="800000"/>
                      <a:headEnd/>
                      <a:tailEnd/>
                    </a:ln>
                  </pic:spPr>
                </pic:pic>
              </a:graphicData>
            </a:graphic>
          </wp:inline>
        </w:drawing>
      </w:r>
    </w:p>
    <w:p w:rsidR="00C7583E" w:rsidRDefault="00C7583E" w:rsidP="002503DE">
      <w:pPr>
        <w:spacing w:before="120" w:after="120" w:line="240" w:lineRule="auto"/>
        <w:ind w:firstLine="567"/>
        <w:jc w:val="right"/>
        <w:rPr>
          <w:rFonts w:ascii="Times New Roman" w:hAnsi="Times New Roman"/>
          <w:b/>
          <w:lang w:val="tr-TR"/>
        </w:rPr>
      </w:pPr>
    </w:p>
    <w:p w:rsidR="008918ED" w:rsidRDefault="008918ED" w:rsidP="008B0DA1">
      <w:pPr>
        <w:spacing w:before="120" w:after="120" w:line="240" w:lineRule="auto"/>
        <w:ind w:firstLine="567"/>
        <w:jc w:val="right"/>
        <w:rPr>
          <w:rFonts w:asciiTheme="majorHAnsi" w:hAnsiTheme="majorHAnsi"/>
          <w:b/>
          <w:sz w:val="24"/>
          <w:szCs w:val="24"/>
          <w:lang w:val="tr-TR"/>
        </w:rPr>
      </w:pPr>
      <w:r>
        <w:rPr>
          <w:noProof/>
          <w:lang w:val="tr-TR" w:eastAsia="tr-TR" w:bidi="ar-SA"/>
        </w:rPr>
        <mc:AlternateContent>
          <mc:Choice Requires="wps">
            <w:drawing>
              <wp:anchor distT="0" distB="0" distL="114300" distR="114300" simplePos="0" relativeHeight="251661312" behindDoc="0" locked="0" layoutInCell="1" allowOverlap="1">
                <wp:simplePos x="0" y="0"/>
                <wp:positionH relativeFrom="column">
                  <wp:posOffset>-406400</wp:posOffset>
                </wp:positionH>
                <wp:positionV relativeFrom="page">
                  <wp:posOffset>10012680</wp:posOffset>
                </wp:positionV>
                <wp:extent cx="7022465" cy="381000"/>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24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918ED" w:rsidRDefault="008918ED" w:rsidP="008918ED">
                            <w:pPr>
                              <w:pBdr>
                                <w:top w:val="single" w:sz="6" w:space="1" w:color="auto"/>
                              </w:pBdr>
                              <w:spacing w:after="0" w:line="220" w:lineRule="exact"/>
                              <w:jc w:val="center"/>
                              <w:rPr>
                                <w:rFonts w:ascii="Times New Roman" w:hAnsi="Times New Roman"/>
                                <w:color w:val="000000"/>
                              </w:rPr>
                            </w:pPr>
                            <w:r>
                              <w:rPr>
                                <w:rFonts w:ascii="Times New Roman" w:hAnsi="Times New Roman"/>
                                <w:color w:val="000000"/>
                              </w:rPr>
                              <w:t>Sendikamız, Uluslararası Metal İşçileri Federasyonu IMF ve Avrupa Metal Sendikaları Federasyonu FEM üyesidir.</w:t>
                            </w:r>
                          </w:p>
                          <w:p w:rsidR="008918ED" w:rsidRPr="00D001F8" w:rsidRDefault="008918ED" w:rsidP="008918ED">
                            <w:pPr>
                              <w:spacing w:after="0" w:line="220" w:lineRule="exact"/>
                              <w:jc w:val="center"/>
                              <w:rPr>
                                <w:rFonts w:ascii="Times New Roman" w:hAnsi="Times New Roman"/>
                                <w:color w:val="000000"/>
                                <w:sz w:val="19"/>
                                <w:szCs w:val="19"/>
                              </w:rPr>
                            </w:pPr>
                            <w:r w:rsidRPr="00D001F8">
                              <w:rPr>
                                <w:rFonts w:ascii="Times New Roman" w:hAnsi="Times New Roman"/>
                                <w:color w:val="000000"/>
                                <w:spacing w:val="-4"/>
                                <w:sz w:val="19"/>
                                <w:szCs w:val="19"/>
                              </w:rPr>
                              <w:t>Our Union is a member of the IMF, International Metalworkers’ Federation and the FEM, European Metalworkers’ Federation in the Community</w:t>
                            </w:r>
                            <w:r w:rsidRPr="00D001F8">
                              <w:rPr>
                                <w:rFonts w:ascii="Times New Roman" w:hAnsi="Times New Roman"/>
                                <w:color w:val="000000"/>
                                <w:sz w:val="19"/>
                                <w:szCs w:val="19"/>
                              </w:rPr>
                              <w:t>.</w:t>
                            </w:r>
                          </w:p>
                          <w:p w:rsidR="008918ED" w:rsidRDefault="008918ED" w:rsidP="008918ED">
                            <w:pPr>
                              <w:spacing w:after="0"/>
                              <w:jc w:val="center"/>
                              <w:rPr>
                                <w:rFonts w:ascii="Times New Roman" w:hAnsi="Times New Roman"/>
                                <w:sz w:val="8"/>
                              </w:rPr>
                            </w:pPr>
                          </w:p>
                          <w:p w:rsidR="008918ED" w:rsidRDefault="008918ED" w:rsidP="008918ED">
                            <w:pPr>
                              <w:spacing w:after="0"/>
                              <w:jc w:val="center"/>
                              <w:rPr>
                                <w:rFonts w:ascii="Times New Roman" w:hAnsi="Times New Roman"/>
                                <w:sz w:val="8"/>
                              </w:rPr>
                            </w:pPr>
                          </w:p>
                          <w:p w:rsidR="008918ED" w:rsidRDefault="008918ED" w:rsidP="008918ED">
                            <w:pPr>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7" style="position:absolute;left:0;text-align:left;margin-left:-32pt;margin-top:788.4pt;width:552.9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" filled="f" stroked="f" strokeweight="0">
                <v:textbox inset="0,0,0,0">
                  <w:txbxContent>
                    <w:p w:rsidR="008918ED" w:rsidRDefault="008918ED" w:rsidP="008918ED">
                      <w:pPr>
                        <w:pBdr>
                          <w:top w:val="single" w:sz="6" w:space="1" w:color="auto"/>
                        </w:pBdr>
                        <w:spacing w:after="0" w:line="220" w:lineRule="exact"/>
                        <w:jc w:val="center"/>
                        <w:rPr>
                          <w:rFonts w:ascii="Times New Roman" w:hAnsi="Times New Roman"/>
                          <w:color w:val="000000"/>
                        </w:rPr>
                      </w:pPr>
                      <w:r>
                        <w:rPr>
                          <w:rFonts w:ascii="Times New Roman" w:hAnsi="Times New Roman"/>
                          <w:color w:val="000000"/>
                        </w:rPr>
                        <w:t>Sendikamız, Uluslararası Metal İşçileri Federasyonu IMF ve Avrupa Metal Sendikaları Federasyonu FEM üyesidir.</w:t>
                      </w:r>
                    </w:p>
                    <w:p w:rsidR="008918ED" w:rsidRPr="00D001F8" w:rsidRDefault="008918ED" w:rsidP="008918ED">
                      <w:pPr>
                        <w:spacing w:after="0" w:line="220" w:lineRule="exact"/>
                        <w:jc w:val="center"/>
                        <w:rPr>
                          <w:rFonts w:ascii="Times New Roman" w:hAnsi="Times New Roman"/>
                          <w:color w:val="000000"/>
                          <w:sz w:val="19"/>
                          <w:szCs w:val="19"/>
                        </w:rPr>
                      </w:pPr>
                      <w:r w:rsidRPr="00D001F8">
                        <w:rPr>
                          <w:rFonts w:ascii="Times New Roman" w:hAnsi="Times New Roman"/>
                          <w:color w:val="000000"/>
                          <w:spacing w:val="-4"/>
                          <w:sz w:val="19"/>
                          <w:szCs w:val="19"/>
                        </w:rPr>
                        <w:t>Our Union is a member of the IMF, International Metalworkers’ Federation and the FEM, European Metalworkers’ Federation in the Community</w:t>
                      </w:r>
                      <w:r w:rsidRPr="00D001F8">
                        <w:rPr>
                          <w:rFonts w:ascii="Times New Roman" w:hAnsi="Times New Roman"/>
                          <w:color w:val="000000"/>
                          <w:sz w:val="19"/>
                          <w:szCs w:val="19"/>
                        </w:rPr>
                        <w:t>.</w:t>
                      </w:r>
                    </w:p>
                    <w:p w:rsidR="008918ED" w:rsidRDefault="008918ED" w:rsidP="008918ED">
                      <w:pPr>
                        <w:spacing w:after="0"/>
                        <w:jc w:val="center"/>
                        <w:rPr>
                          <w:rFonts w:ascii="Times New Roman" w:hAnsi="Times New Roman"/>
                          <w:sz w:val="8"/>
                        </w:rPr>
                      </w:pPr>
                    </w:p>
                    <w:p w:rsidR="008918ED" w:rsidRDefault="008918ED" w:rsidP="008918ED">
                      <w:pPr>
                        <w:spacing w:after="0"/>
                        <w:jc w:val="center"/>
                        <w:rPr>
                          <w:rFonts w:ascii="Times New Roman" w:hAnsi="Times New Roman"/>
                          <w:sz w:val="8"/>
                        </w:rPr>
                      </w:pPr>
                    </w:p>
                    <w:p w:rsidR="008918ED" w:rsidRDefault="008918ED" w:rsidP="008918ED">
                      <w:pPr>
                        <w:spacing w:after="0"/>
                      </w:pPr>
                    </w:p>
                  </w:txbxContent>
                </v:textbox>
                <w10:wrap anchory="page"/>
              </v:rect>
            </w:pict>
          </mc:Fallback>
        </mc:AlternateContent>
      </w:r>
      <w:r w:rsidR="00581404">
        <w:rPr>
          <w:rFonts w:asciiTheme="majorHAnsi" w:hAnsiTheme="majorHAnsi"/>
          <w:b/>
          <w:sz w:val="24"/>
          <w:szCs w:val="24"/>
          <w:lang w:val="tr-TR"/>
        </w:rPr>
        <w:t>28/04/2016</w:t>
      </w:r>
    </w:p>
    <w:p w:rsidR="00581404" w:rsidRDefault="00581404" w:rsidP="00581404">
      <w:pPr>
        <w:spacing w:before="120" w:after="120" w:line="240" w:lineRule="auto"/>
        <w:ind w:firstLine="567"/>
        <w:rPr>
          <w:rFonts w:asciiTheme="majorHAnsi" w:hAnsiTheme="majorHAnsi"/>
          <w:b/>
          <w:sz w:val="24"/>
          <w:szCs w:val="24"/>
          <w:lang w:val="tr-TR"/>
        </w:rPr>
      </w:pPr>
    </w:p>
    <w:p w:rsidR="00581404" w:rsidRPr="00DB602E" w:rsidRDefault="00581404" w:rsidP="00DB602E">
      <w:pPr>
        <w:spacing w:before="120" w:after="120" w:line="240" w:lineRule="auto"/>
        <w:jc w:val="center"/>
        <w:rPr>
          <w:rFonts w:ascii="Times New Roman" w:hAnsi="Times New Roman"/>
          <w:b/>
          <w:sz w:val="36"/>
          <w:szCs w:val="36"/>
          <w:lang w:val="tr-TR"/>
        </w:rPr>
      </w:pPr>
      <w:r w:rsidRPr="00DB602E">
        <w:rPr>
          <w:rFonts w:ascii="Times New Roman" w:hAnsi="Times New Roman"/>
          <w:b/>
          <w:sz w:val="36"/>
          <w:szCs w:val="36"/>
          <w:lang w:val="tr-TR"/>
        </w:rPr>
        <w:t>İŞ CİNAYETLERİ VE KAYITDIŞILIK RAPORU</w:t>
      </w:r>
    </w:p>
    <w:p w:rsidR="00581404" w:rsidRDefault="00581404" w:rsidP="00DB602E">
      <w:pPr>
        <w:pStyle w:val="ListeParagraf"/>
        <w:numPr>
          <w:ilvl w:val="0"/>
          <w:numId w:val="5"/>
        </w:numPr>
        <w:jc w:val="both"/>
        <w:rPr>
          <w:rFonts w:ascii="Times New Roman" w:hAnsi="Times New Roman"/>
          <w:sz w:val="24"/>
          <w:szCs w:val="24"/>
        </w:rPr>
      </w:pPr>
      <w:r w:rsidRPr="00B16DC2">
        <w:rPr>
          <w:rFonts w:ascii="Times New Roman" w:hAnsi="Times New Roman"/>
          <w:sz w:val="24"/>
          <w:szCs w:val="24"/>
        </w:rPr>
        <w:t>İŞ KAZALARININ DÖRTTE ÜÇÜ MESLEK HASTALIKLARININ NEREDEYSE TAMAMI KAYITDIŞI</w:t>
      </w:r>
    </w:p>
    <w:p w:rsidR="00581404" w:rsidRDefault="00581404" w:rsidP="00DB602E">
      <w:pPr>
        <w:pStyle w:val="ListeParagraf"/>
        <w:numPr>
          <w:ilvl w:val="0"/>
          <w:numId w:val="5"/>
        </w:numPr>
        <w:jc w:val="both"/>
        <w:rPr>
          <w:rFonts w:ascii="Times New Roman" w:hAnsi="Times New Roman"/>
          <w:sz w:val="24"/>
          <w:szCs w:val="24"/>
        </w:rPr>
      </w:pPr>
      <w:r w:rsidRPr="00B16DC2">
        <w:rPr>
          <w:rFonts w:ascii="Times New Roman" w:hAnsi="Times New Roman"/>
          <w:sz w:val="24"/>
          <w:szCs w:val="24"/>
        </w:rPr>
        <w:t>TÜRKİYE'DE İŞ CİNAYETLERİNİN ORANI AB'NİN 6'I KATI</w:t>
      </w:r>
    </w:p>
    <w:p w:rsidR="00581404" w:rsidRPr="00B16DC2" w:rsidRDefault="00581404" w:rsidP="00DB602E">
      <w:pPr>
        <w:pStyle w:val="ListeParagraf"/>
        <w:numPr>
          <w:ilvl w:val="0"/>
          <w:numId w:val="5"/>
        </w:numPr>
        <w:jc w:val="both"/>
        <w:rPr>
          <w:rFonts w:ascii="Times New Roman" w:hAnsi="Times New Roman"/>
          <w:sz w:val="24"/>
          <w:szCs w:val="24"/>
        </w:rPr>
      </w:pPr>
      <w:r w:rsidRPr="00B16DC2">
        <w:rPr>
          <w:rFonts w:ascii="Times New Roman" w:hAnsi="Times New Roman"/>
          <w:sz w:val="24"/>
          <w:szCs w:val="24"/>
        </w:rPr>
        <w:t>METAL SEKTÖRÜNDEKİ İŞ CİNAYETLERİ</w:t>
      </w:r>
      <w:r w:rsidR="00DB602E">
        <w:rPr>
          <w:rFonts w:ascii="Times New Roman" w:hAnsi="Times New Roman"/>
          <w:sz w:val="24"/>
          <w:szCs w:val="24"/>
        </w:rPr>
        <w:t>NDE DE TÜRKİYE ÖN SIRALARDA</w:t>
      </w:r>
    </w:p>
    <w:p w:rsidR="00581404" w:rsidRDefault="00581404" w:rsidP="00581404">
      <w:pPr>
        <w:spacing w:before="120" w:after="120" w:line="240" w:lineRule="auto"/>
        <w:rPr>
          <w:rFonts w:asciiTheme="majorHAnsi" w:hAnsiTheme="majorHAnsi"/>
          <w:b/>
          <w:sz w:val="24"/>
          <w:szCs w:val="24"/>
          <w:lang w:val="tr-TR"/>
        </w:rPr>
      </w:pPr>
    </w:p>
    <w:p w:rsidR="00581404" w:rsidRPr="000D0014" w:rsidRDefault="00581404" w:rsidP="00581404">
      <w:pPr>
        <w:pStyle w:val="ListeParagraf"/>
        <w:numPr>
          <w:ilvl w:val="0"/>
          <w:numId w:val="3"/>
        </w:numPr>
        <w:jc w:val="both"/>
        <w:rPr>
          <w:rFonts w:ascii="Times New Roman" w:hAnsi="Times New Roman"/>
          <w:b/>
          <w:sz w:val="24"/>
          <w:szCs w:val="24"/>
        </w:rPr>
      </w:pPr>
      <w:r w:rsidRPr="000D0014">
        <w:rPr>
          <w:rFonts w:ascii="Times New Roman" w:hAnsi="Times New Roman"/>
          <w:b/>
          <w:sz w:val="24"/>
          <w:szCs w:val="24"/>
        </w:rPr>
        <w:t>GİRİŞ</w:t>
      </w:r>
      <w:bookmarkStart w:id="0" w:name="_GoBack"/>
      <w:bookmarkEnd w:id="0"/>
    </w:p>
    <w:p w:rsidR="00581404" w:rsidRPr="00B16DC2" w:rsidRDefault="00581404" w:rsidP="00581404">
      <w:pPr>
        <w:jc w:val="both"/>
        <w:rPr>
          <w:rFonts w:ascii="Times New Roman" w:hAnsi="Times New Roman"/>
          <w:sz w:val="24"/>
          <w:szCs w:val="24"/>
        </w:rPr>
      </w:pPr>
      <w:r w:rsidRPr="00B16DC2">
        <w:rPr>
          <w:rFonts w:ascii="Times New Roman" w:hAnsi="Times New Roman"/>
          <w:sz w:val="24"/>
          <w:szCs w:val="24"/>
        </w:rPr>
        <w:t xml:space="preserve">Türkiye ekonomisi açısından en kritik sorun alanlarından biri kayıt dışı ekonominin son derece yüksek düzeylerde olmasıdır. TÜİK İşgücü Anketi Ocak 2016 verilerine göre herhangi bir sosyal güvenlik kurumuna bağlı olmadan çalışanların oranı %31,8 seviyesindedir. Bunun yanında herhangi bir sosyal güvenlik kurumuna tabi olunsa da, kayıt dışı uygulamaların yaşandığı pek çok işyerinin varlığı bilinmektedir. Prim ödeme miktarından, iş kazalarının hatta iş cinayetlerinin kayıt altına alınmadığı, meslek hastalıklarının yok sayıldığı bir çalışma hayatı ile karşı karşıyayız. </w:t>
      </w:r>
    </w:p>
    <w:p w:rsidR="00581404" w:rsidRPr="00B16DC2" w:rsidRDefault="00581404" w:rsidP="00581404">
      <w:pPr>
        <w:jc w:val="both"/>
        <w:rPr>
          <w:rFonts w:ascii="Times New Roman" w:hAnsi="Times New Roman"/>
          <w:sz w:val="24"/>
          <w:szCs w:val="24"/>
        </w:rPr>
      </w:pPr>
      <w:r w:rsidRPr="00B16DC2">
        <w:rPr>
          <w:rFonts w:ascii="Times New Roman" w:hAnsi="Times New Roman"/>
          <w:sz w:val="24"/>
          <w:szCs w:val="24"/>
        </w:rPr>
        <w:t xml:space="preserve">Dolayısıyla kaytıdışı ekonomi ile mücadele çalışanların herhangi bir sosyal güvenlik kurumuna üyeliği ile sınırlı bir konu olarak ele alınmaz. Tüm boyutları ile ele alınmak durumundadır. İşçi sağlığı ve iş güvenliği alanı da bu eksende değerlendirilmek durumundadır. </w:t>
      </w:r>
    </w:p>
    <w:p w:rsidR="00581404" w:rsidRPr="00B16DC2" w:rsidRDefault="00581404" w:rsidP="00581404">
      <w:pPr>
        <w:jc w:val="both"/>
        <w:rPr>
          <w:rFonts w:ascii="Times New Roman" w:hAnsi="Times New Roman"/>
          <w:sz w:val="24"/>
          <w:szCs w:val="24"/>
        </w:rPr>
      </w:pPr>
      <w:r w:rsidRPr="00B16DC2">
        <w:rPr>
          <w:rFonts w:ascii="Times New Roman" w:hAnsi="Times New Roman"/>
          <w:sz w:val="24"/>
          <w:szCs w:val="24"/>
        </w:rPr>
        <w:t xml:space="preserve">Bu rapor, </w:t>
      </w:r>
      <w:r w:rsidRPr="00B16DC2">
        <w:rPr>
          <w:rFonts w:ascii="Times New Roman" w:hAnsi="Times New Roman"/>
          <w:sz w:val="24"/>
          <w:szCs w:val="24"/>
          <w:lang w:val="tr-TR"/>
        </w:rPr>
        <w:t xml:space="preserve">ILO tarafından 2001’den bu güne “Dünya Çalışma Güvenliği ve Sağlığı Günü” olarak ilan edilen </w:t>
      </w:r>
      <w:r w:rsidRPr="00B16DC2">
        <w:rPr>
          <w:rFonts w:ascii="Times New Roman" w:hAnsi="Times New Roman"/>
          <w:sz w:val="24"/>
          <w:szCs w:val="24"/>
        </w:rPr>
        <w:t>ve</w:t>
      </w:r>
      <w:r w:rsidRPr="00B16DC2">
        <w:rPr>
          <w:rFonts w:ascii="Times New Roman" w:hAnsi="Times New Roman"/>
          <w:sz w:val="24"/>
          <w:szCs w:val="24"/>
          <w:lang w:val="tr-TR"/>
        </w:rPr>
        <w:t xml:space="preserve"> hâlihazırda Dünya’nın 30’undan fazla ülkesinde “Anma ve Yas Günü” olarak kabul edil</w:t>
      </w:r>
      <w:r w:rsidRPr="00B16DC2">
        <w:rPr>
          <w:rFonts w:ascii="Times New Roman" w:hAnsi="Times New Roman"/>
          <w:sz w:val="24"/>
          <w:szCs w:val="24"/>
        </w:rPr>
        <w:t>en 28 Nisan tarihin üzerinden soruna dikkat çekmek için hazırlanmıştır</w:t>
      </w:r>
      <w:r w:rsidRPr="00B16DC2">
        <w:rPr>
          <w:rFonts w:ascii="Times New Roman" w:hAnsi="Times New Roman"/>
          <w:sz w:val="24"/>
          <w:szCs w:val="24"/>
          <w:lang w:val="tr-TR"/>
        </w:rPr>
        <w:t>.</w:t>
      </w:r>
    </w:p>
    <w:p w:rsidR="00581404" w:rsidRPr="00B16DC2" w:rsidRDefault="00581404" w:rsidP="00581404">
      <w:pPr>
        <w:jc w:val="both"/>
        <w:rPr>
          <w:rFonts w:ascii="Times New Roman" w:hAnsi="Times New Roman"/>
          <w:sz w:val="24"/>
          <w:szCs w:val="24"/>
          <w:lang w:val="tr-TR"/>
        </w:rPr>
      </w:pPr>
      <w:r w:rsidRPr="00B16DC2">
        <w:rPr>
          <w:rFonts w:ascii="Times New Roman" w:hAnsi="Times New Roman"/>
          <w:sz w:val="24"/>
          <w:szCs w:val="24"/>
        </w:rPr>
        <w:t xml:space="preserve">Sendikamız Genel Yönetim Kurulu kamuoyuna yaptığı açıklama ile 28 Nisan’ın </w:t>
      </w:r>
      <w:r w:rsidRPr="00B16DC2">
        <w:rPr>
          <w:rFonts w:ascii="Times New Roman" w:hAnsi="Times New Roman"/>
          <w:b/>
          <w:sz w:val="24"/>
          <w:szCs w:val="24"/>
          <w:lang w:val="tr-TR"/>
        </w:rPr>
        <w:t>İş Cinayetlerinde Hayatını Kay</w:t>
      </w:r>
      <w:r w:rsidRPr="00B16DC2">
        <w:rPr>
          <w:rFonts w:ascii="Times New Roman" w:hAnsi="Times New Roman"/>
          <w:b/>
          <w:sz w:val="24"/>
          <w:szCs w:val="24"/>
        </w:rPr>
        <w:t>beden İşçileri Anma ve Yas Günü</w:t>
      </w:r>
      <w:r w:rsidRPr="00B16DC2">
        <w:rPr>
          <w:rFonts w:ascii="Times New Roman" w:hAnsi="Times New Roman"/>
          <w:sz w:val="24"/>
          <w:szCs w:val="24"/>
        </w:rPr>
        <w:t xml:space="preserve"> olarak kabul edilmesini talep ettiğini kamuoyuna duyurmuştur. </w:t>
      </w:r>
    </w:p>
    <w:p w:rsidR="00581404" w:rsidRPr="00B16DC2" w:rsidRDefault="00581404" w:rsidP="00581404">
      <w:pPr>
        <w:jc w:val="both"/>
        <w:rPr>
          <w:rFonts w:ascii="Times New Roman" w:hAnsi="Times New Roman"/>
          <w:sz w:val="24"/>
          <w:szCs w:val="24"/>
        </w:rPr>
      </w:pPr>
      <w:r w:rsidRPr="00B16DC2">
        <w:rPr>
          <w:rFonts w:ascii="Times New Roman" w:hAnsi="Times New Roman"/>
          <w:sz w:val="24"/>
          <w:szCs w:val="24"/>
        </w:rPr>
        <w:t>Raporda Türkiye’de iş kazaları ve meslek hastalıkları alanında yaşanan kayıtdışılık sorununa SGK ve TÜİK verileri üzerinden yapılan hesaplamalarla dikkat çekilmekte, Türkiye’nin ve Türkiye’deki metal sektörünün Avrupa Birliği ülkeleri ile karşılaştırması üzerinden iş kazalarındaki konumu tespit edilmeye çalışılmıştır.</w:t>
      </w:r>
    </w:p>
    <w:p w:rsidR="00581404" w:rsidRPr="000D0014" w:rsidRDefault="00581404" w:rsidP="00581404">
      <w:pPr>
        <w:pStyle w:val="ListeParagraf"/>
        <w:numPr>
          <w:ilvl w:val="0"/>
          <w:numId w:val="3"/>
        </w:numPr>
        <w:jc w:val="both"/>
        <w:rPr>
          <w:rFonts w:ascii="Times New Roman" w:hAnsi="Times New Roman"/>
          <w:b/>
          <w:sz w:val="24"/>
          <w:szCs w:val="24"/>
        </w:rPr>
      </w:pPr>
      <w:r w:rsidRPr="000D0014">
        <w:rPr>
          <w:rFonts w:ascii="Times New Roman" w:hAnsi="Times New Roman"/>
          <w:b/>
          <w:sz w:val="24"/>
          <w:szCs w:val="24"/>
        </w:rPr>
        <w:t>İŞ KAZALARININ DÖRTTE ÜÇÜ MESLEK HASTALIKLARININ NEREDEYSE TAMAMI KAYITDIŞI</w:t>
      </w:r>
    </w:p>
    <w:p w:rsidR="00581404" w:rsidRPr="00B16DC2" w:rsidRDefault="00581404" w:rsidP="00581404">
      <w:pPr>
        <w:jc w:val="both"/>
        <w:rPr>
          <w:rFonts w:ascii="Times New Roman" w:hAnsi="Times New Roman"/>
          <w:sz w:val="24"/>
          <w:szCs w:val="24"/>
        </w:rPr>
      </w:pPr>
      <w:r w:rsidRPr="00B16DC2">
        <w:rPr>
          <w:rFonts w:ascii="Times New Roman" w:hAnsi="Times New Roman"/>
          <w:sz w:val="24"/>
          <w:szCs w:val="24"/>
        </w:rPr>
        <w:t xml:space="preserve">TÜİK tarafından 2013yılı </w:t>
      </w:r>
      <w:r w:rsidRPr="00B16DC2">
        <w:rPr>
          <w:rFonts w:ascii="Times New Roman" w:hAnsi="Times New Roman"/>
          <w:color w:val="000000"/>
          <w:sz w:val="24"/>
          <w:szCs w:val="24"/>
          <w:shd w:val="clear" w:color="auto" w:fill="FFFFFF"/>
        </w:rPr>
        <w:t xml:space="preserve">İş Kazaları ve İşe Bağlı Sağlık Problemleri Araştırma Sonuçları ile SGK Yıllık İstatistikleri karşılaştırıldığında iş kazalarının büyük bir kısmının kayıtdışı olduğu görülmektedir. 2012 yılında SGK kayıtlarına yansıyan iş kazası sayısı </w:t>
      </w:r>
      <w:r w:rsidRPr="00B16DC2">
        <w:rPr>
          <w:rFonts w:ascii="Times New Roman" w:hAnsi="Times New Roman"/>
          <w:b/>
          <w:color w:val="000000"/>
          <w:sz w:val="24"/>
          <w:szCs w:val="24"/>
          <w:shd w:val="clear" w:color="auto" w:fill="FFFFFF"/>
        </w:rPr>
        <w:t>74 bin 871</w:t>
      </w:r>
      <w:r w:rsidRPr="00B16DC2">
        <w:rPr>
          <w:rFonts w:ascii="Times New Roman" w:hAnsi="Times New Roman"/>
          <w:color w:val="000000"/>
          <w:sz w:val="24"/>
          <w:szCs w:val="24"/>
          <w:shd w:val="clear" w:color="auto" w:fill="FFFFFF"/>
        </w:rPr>
        <w:t xml:space="preserve">'dir. Buna karşın 2013 yılı Haziran dönemi </w:t>
      </w:r>
      <w:r w:rsidRPr="00B16DC2">
        <w:rPr>
          <w:rFonts w:ascii="Times New Roman" w:hAnsi="Times New Roman"/>
          <w:color w:val="000000"/>
          <w:sz w:val="24"/>
          <w:szCs w:val="24"/>
          <w:shd w:val="clear" w:color="auto" w:fill="FFFFFF"/>
        </w:rPr>
        <w:lastRenderedPageBreak/>
        <w:t xml:space="preserve">için (Mayıs-Haziran-Temmuz ayları)geriye dönük 1 yıllık zaman diliminde iş kazası geçirdiğini söyleyenlerin sayısı 706 bindir. Her ne kadar verilerden biri 2012 yılının ikinci ve 2013 yılının birinci dönemini, diğeri ise sadece 2012 yılını kapsasa ve bu nedenle sağlıklı bir oran tespit etmek mümkün olmasa da, 1 yıllık zaman diliminde yaklaşık olarak benzer sayıda iş kazasının olduğu varsayılırsa, iş kazalarının % 89,4'ü kayıtdışı olarak görülmektedir. 2013 yılında ise SGK istatistiklerinde iş kazası sayısı </w:t>
      </w:r>
      <w:r w:rsidRPr="00B16DC2">
        <w:rPr>
          <w:rFonts w:ascii="Times New Roman" w:hAnsi="Times New Roman"/>
          <w:b/>
          <w:color w:val="000000"/>
          <w:sz w:val="24"/>
          <w:szCs w:val="24"/>
          <w:shd w:val="clear" w:color="auto" w:fill="FFFFFF"/>
        </w:rPr>
        <w:t>191 bin 389</w:t>
      </w:r>
      <w:r w:rsidRPr="00B16DC2">
        <w:rPr>
          <w:rFonts w:ascii="Times New Roman" w:hAnsi="Times New Roman"/>
          <w:color w:val="000000"/>
          <w:sz w:val="24"/>
          <w:szCs w:val="24"/>
          <w:shd w:val="clear" w:color="auto" w:fill="FFFFFF"/>
        </w:rPr>
        <w:t xml:space="preserve"> olarak kayıtlara geçmiştir. Bu artışın nedeni</w:t>
      </w:r>
      <w:r w:rsidRPr="00B16DC2">
        <w:rPr>
          <w:rFonts w:ascii="Times New Roman" w:hAnsi="Times New Roman"/>
          <w:sz w:val="24"/>
          <w:szCs w:val="24"/>
        </w:rPr>
        <w:t xml:space="preserve"> SGK tarafından yöntem değişikliği ile açıklanmaktadır</w:t>
      </w:r>
      <w:r w:rsidRPr="00B16DC2">
        <w:rPr>
          <w:rStyle w:val="DipnotBavurusu"/>
          <w:rFonts w:ascii="Times New Roman" w:hAnsi="Times New Roman"/>
          <w:sz w:val="24"/>
          <w:szCs w:val="24"/>
        </w:rPr>
        <w:footnoteReference w:id="1"/>
      </w:r>
      <w:r w:rsidRPr="00B16DC2">
        <w:rPr>
          <w:rFonts w:ascii="Times New Roman" w:hAnsi="Times New Roman"/>
          <w:sz w:val="24"/>
          <w:szCs w:val="24"/>
        </w:rPr>
        <w:t xml:space="preserve">.  </w:t>
      </w:r>
    </w:p>
    <w:p w:rsidR="00581404" w:rsidRPr="00B16DC2" w:rsidRDefault="00581404" w:rsidP="00581404">
      <w:pPr>
        <w:jc w:val="both"/>
        <w:rPr>
          <w:rFonts w:ascii="Times New Roman" w:hAnsi="Times New Roman"/>
          <w:sz w:val="24"/>
          <w:szCs w:val="24"/>
        </w:rPr>
      </w:pPr>
      <w:r w:rsidRPr="00B16DC2">
        <w:rPr>
          <w:rFonts w:ascii="Times New Roman" w:hAnsi="Times New Roman"/>
          <w:sz w:val="24"/>
          <w:szCs w:val="24"/>
        </w:rPr>
        <w:t xml:space="preserve">Ancak bu düzenlemeye rağmen (bu sefer 2013 TÜİK verileri ile SGK verileri karşılaştırıldığında) iş kazasına uğrayanların %72,9'nun geçirdikleri kazanın kayıtdışı olduğu görülmektedir. </w:t>
      </w:r>
    </w:p>
    <w:p w:rsidR="00581404" w:rsidRPr="00B16DC2" w:rsidRDefault="00581404" w:rsidP="00581404">
      <w:pPr>
        <w:rPr>
          <w:rFonts w:ascii="Times New Roman" w:hAnsi="Times New Roman"/>
          <w:sz w:val="24"/>
          <w:szCs w:val="24"/>
        </w:rPr>
      </w:pPr>
      <w:r w:rsidRPr="00B16DC2">
        <w:rPr>
          <w:rFonts w:ascii="Times New Roman" w:hAnsi="Times New Roman"/>
          <w:sz w:val="24"/>
          <w:szCs w:val="24"/>
        </w:rPr>
        <w:t>SGK tarafından en son açıklanan yıllık istatistikler 2014 yılı içindir. Bu istatistiklerde kayıtlı iş kazası sayısı 221 bin 366 bine ulaşmıştır.</w:t>
      </w:r>
    </w:p>
    <w:p w:rsidR="00581404" w:rsidRPr="00B16DC2" w:rsidRDefault="00581404" w:rsidP="00581404">
      <w:pPr>
        <w:rPr>
          <w:rFonts w:ascii="Times New Roman" w:hAnsi="Times New Roman"/>
          <w:color w:val="000000"/>
          <w:sz w:val="24"/>
          <w:szCs w:val="24"/>
          <w:shd w:val="clear" w:color="auto" w:fill="FFFFFF"/>
        </w:rPr>
      </w:pPr>
      <w:r w:rsidRPr="00B16DC2">
        <w:rPr>
          <w:rFonts w:ascii="Times New Roman" w:hAnsi="Times New Roman"/>
          <w:sz w:val="24"/>
          <w:szCs w:val="24"/>
        </w:rPr>
        <w:t xml:space="preserve">İş bağlı sağlık sorunu yaşayanların sayısı TÜİK </w:t>
      </w:r>
      <w:r w:rsidRPr="00B16DC2">
        <w:rPr>
          <w:rFonts w:ascii="Times New Roman" w:hAnsi="Times New Roman"/>
          <w:color w:val="000000"/>
          <w:sz w:val="24"/>
          <w:szCs w:val="24"/>
          <w:shd w:val="clear" w:color="auto" w:fill="FFFFFF"/>
        </w:rPr>
        <w:t>İş Kazaları ve İşe Bağlı Sağlık Problemleri Araştırma Sonuçları'na göre 895 kişi iken bu sayı SGK 2012 istatistiklerinde 395, SGK 2013 istatistiklerinde 351, SGK 2014 yılı İstatistikleri'nde ise 494'tür. TÜİK verisini sabit kabul edersek meslek hastalıklarında 3 yılın ortalamasına göre kayıtdışı oranı % 99,9'dur.</w:t>
      </w:r>
    </w:p>
    <w:p w:rsidR="00581404" w:rsidRPr="00B16DC2" w:rsidRDefault="00581404" w:rsidP="00581404">
      <w:pPr>
        <w:ind w:firstLine="708"/>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2</w:t>
      </w:r>
      <w:r w:rsidRPr="00B16DC2">
        <w:rPr>
          <w:rFonts w:ascii="Times New Roman" w:hAnsi="Times New Roman"/>
          <w:b/>
          <w:color w:val="000000"/>
          <w:sz w:val="24"/>
          <w:szCs w:val="24"/>
          <w:shd w:val="clear" w:color="auto" w:fill="FFFFFF"/>
        </w:rPr>
        <w:t>.a. En çok iş kazası küçük ölçekli firmalarda</w:t>
      </w:r>
    </w:p>
    <w:p w:rsidR="00581404" w:rsidRPr="00B16DC2" w:rsidRDefault="00581404" w:rsidP="00581404">
      <w:pPr>
        <w:rPr>
          <w:rFonts w:ascii="Times New Roman" w:hAnsi="Times New Roman"/>
          <w:color w:val="000000"/>
          <w:sz w:val="24"/>
          <w:szCs w:val="24"/>
          <w:shd w:val="clear" w:color="auto" w:fill="FFFFFF"/>
        </w:rPr>
      </w:pPr>
      <w:r w:rsidRPr="00B16DC2">
        <w:rPr>
          <w:rFonts w:ascii="Times New Roman" w:hAnsi="Times New Roman"/>
          <w:color w:val="000000"/>
          <w:sz w:val="24"/>
          <w:szCs w:val="24"/>
          <w:shd w:val="clear" w:color="auto" w:fill="FFFFFF"/>
        </w:rPr>
        <w:t>TÜİK verilerine göre her iki iş kazasından biri 1-9 kişi çalıştıran iş yerlerinde gerçekleşmektedir. Buna karşın SGK 2013 verilerine göre kayıtlı iş kazalarının sadece % 8,8'i, SGK 2014 verilerine göre %8'i 1-9 kişi çalıştıran işyerlerindedir.</w:t>
      </w:r>
    </w:p>
    <w:p w:rsidR="00581404" w:rsidRPr="00B16DC2" w:rsidRDefault="00581404" w:rsidP="00581404">
      <w:pPr>
        <w:rPr>
          <w:rFonts w:ascii="Times New Roman" w:hAnsi="Times New Roman"/>
          <w:color w:val="000000"/>
          <w:sz w:val="24"/>
          <w:szCs w:val="24"/>
          <w:shd w:val="clear" w:color="auto" w:fill="FFFFFF"/>
        </w:rPr>
      </w:pPr>
      <w:r w:rsidRPr="00B16DC2">
        <w:rPr>
          <w:rFonts w:ascii="Times New Roman" w:hAnsi="Times New Roman"/>
          <w:color w:val="000000"/>
          <w:sz w:val="24"/>
          <w:szCs w:val="24"/>
          <w:shd w:val="clear" w:color="auto" w:fill="FFFFFF"/>
        </w:rPr>
        <w:t xml:space="preserve">Grafik 1. TÜİK verilerine göre iş kazalarının ölçek büyüklüğüne göre dağılımı </w:t>
      </w:r>
    </w:p>
    <w:p w:rsidR="00581404" w:rsidRPr="00B16DC2" w:rsidRDefault="00581404" w:rsidP="00581404">
      <w:pPr>
        <w:rPr>
          <w:rFonts w:ascii="Times New Roman" w:hAnsi="Times New Roman"/>
          <w:color w:val="000000"/>
          <w:sz w:val="24"/>
          <w:szCs w:val="24"/>
          <w:shd w:val="clear" w:color="auto" w:fill="FFFFFF"/>
        </w:rPr>
      </w:pPr>
      <w:r w:rsidRPr="00B16DC2">
        <w:rPr>
          <w:rFonts w:ascii="Times New Roman" w:hAnsi="Times New Roman"/>
          <w:noProof/>
          <w:color w:val="000000"/>
          <w:sz w:val="24"/>
          <w:szCs w:val="24"/>
          <w:shd w:val="clear" w:color="auto" w:fill="FFFFFF"/>
          <w:lang w:eastAsia="tr-TR"/>
        </w:rPr>
        <w:drawing>
          <wp:inline distT="0" distB="0" distL="0" distR="0" wp14:anchorId="2A52E9E2" wp14:editId="49E347D0">
            <wp:extent cx="4352925" cy="2581275"/>
            <wp:effectExtent l="0" t="0" r="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1404" w:rsidRPr="00B16DC2" w:rsidRDefault="00581404" w:rsidP="00581404">
      <w:pPr>
        <w:jc w:val="both"/>
        <w:rPr>
          <w:rFonts w:ascii="Times New Roman" w:hAnsi="Times New Roman"/>
          <w:color w:val="000000"/>
          <w:sz w:val="24"/>
          <w:szCs w:val="24"/>
          <w:shd w:val="clear" w:color="auto" w:fill="FFFFFF"/>
        </w:rPr>
      </w:pPr>
      <w:r w:rsidRPr="00B16DC2">
        <w:rPr>
          <w:rFonts w:ascii="Times New Roman" w:hAnsi="Times New Roman"/>
          <w:color w:val="000000"/>
          <w:sz w:val="24"/>
          <w:szCs w:val="24"/>
          <w:shd w:val="clear" w:color="auto" w:fill="FFFFFF"/>
        </w:rPr>
        <w:t xml:space="preserve">2013 yılı TÜİK ve SGK verileri üzerinden yaptığımız hesaplamaya göre küçük işletmelerde kayıtdışı iş kazası oranı % 95'tir. Buna karşın 500 ve üzeri işçi çalıştıran işyerlerinde iş kazalarına dair iki kurumun </w:t>
      </w:r>
      <w:r w:rsidRPr="00B16DC2">
        <w:rPr>
          <w:rFonts w:ascii="Times New Roman" w:hAnsi="Times New Roman"/>
          <w:color w:val="000000"/>
          <w:sz w:val="24"/>
          <w:szCs w:val="24"/>
          <w:shd w:val="clear" w:color="auto" w:fill="FFFFFF"/>
        </w:rPr>
        <w:lastRenderedPageBreak/>
        <w:t xml:space="preserve">elde ettiği veriler yaklaşık olarak birbirini karşılamaktadır. Ancka bu durum söz konusu firmalarda kayıtdışı iş kazalarının olmadığı şeklinde yorumlanmamalıdır. 10 ila 49 işçi çalıştıran iş yerlerinde her üç iş kazasından ikisi kayıtdışıdır. Kayıtdışı iş kazası oranı 50 ila 249 işçi çalıştıran işyerlerinde % 58, 250 ila 499 kişi çalıştıran işyerlerinde % 16'dır. </w:t>
      </w:r>
    </w:p>
    <w:p w:rsidR="00581404" w:rsidRPr="00B16DC2" w:rsidRDefault="00581404" w:rsidP="00581404">
      <w:pPr>
        <w:rPr>
          <w:rFonts w:ascii="Times New Roman" w:hAnsi="Times New Roman"/>
          <w:color w:val="000000"/>
          <w:sz w:val="24"/>
          <w:szCs w:val="24"/>
          <w:shd w:val="clear" w:color="auto" w:fill="FFFFFF"/>
        </w:rPr>
      </w:pPr>
      <w:r w:rsidRPr="00B16DC2">
        <w:rPr>
          <w:rFonts w:ascii="Times New Roman" w:hAnsi="Times New Roman"/>
          <w:color w:val="000000"/>
          <w:sz w:val="24"/>
          <w:szCs w:val="24"/>
          <w:shd w:val="clear" w:color="auto" w:fill="FFFFFF"/>
        </w:rPr>
        <w:t>Grafik 2- Ölçek Büyüklüğüne Göre İş Kazalarında Kayıtdışılık</w:t>
      </w:r>
    </w:p>
    <w:p w:rsidR="00581404" w:rsidRPr="00B16DC2" w:rsidRDefault="00581404" w:rsidP="00581404">
      <w:pPr>
        <w:rPr>
          <w:rFonts w:ascii="Times New Roman" w:hAnsi="Times New Roman"/>
          <w:sz w:val="24"/>
          <w:szCs w:val="24"/>
        </w:rPr>
      </w:pPr>
      <w:r w:rsidRPr="00B16DC2">
        <w:rPr>
          <w:rFonts w:ascii="Times New Roman" w:hAnsi="Times New Roman"/>
          <w:noProof/>
          <w:sz w:val="24"/>
          <w:szCs w:val="24"/>
          <w:lang w:eastAsia="tr-TR"/>
        </w:rPr>
        <w:drawing>
          <wp:inline distT="0" distB="0" distL="0" distR="0" wp14:anchorId="2F46CB32" wp14:editId="49EE0A0A">
            <wp:extent cx="4162425" cy="2343150"/>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81404" w:rsidRDefault="00581404" w:rsidP="00DB602E">
      <w:pPr>
        <w:rPr>
          <w:rFonts w:ascii="Times New Roman" w:hAnsi="Times New Roman"/>
          <w:sz w:val="24"/>
          <w:szCs w:val="24"/>
        </w:rPr>
      </w:pPr>
      <w:r w:rsidRPr="00B16DC2">
        <w:rPr>
          <w:rFonts w:ascii="Times New Roman" w:hAnsi="Times New Roman"/>
          <w:sz w:val="24"/>
          <w:szCs w:val="24"/>
        </w:rPr>
        <w:t xml:space="preserve">Not: Hesaplamada 2013 SGK istatistikleri ile TÜİK 2013yılı </w:t>
      </w:r>
      <w:r w:rsidRPr="00B16DC2">
        <w:rPr>
          <w:rFonts w:ascii="Times New Roman" w:hAnsi="Times New Roman"/>
          <w:color w:val="000000"/>
          <w:sz w:val="24"/>
          <w:szCs w:val="24"/>
          <w:shd w:val="clear" w:color="auto" w:fill="FFFFFF"/>
        </w:rPr>
        <w:t>İş Kazaları ve İşe Bağlı Sağlık Problemleri Araştırma Sonuçları kullanılmıştır. İki verinin kapsamı ve dönemleri arasında farklılıklar bulunmaktadır. Bu nedenle oranlar üst limiti vermekte ve yaklaşık bir sonucu göstermektedir.</w:t>
      </w:r>
    </w:p>
    <w:p w:rsidR="00581404" w:rsidRPr="000D0014" w:rsidRDefault="00581404" w:rsidP="00581404">
      <w:pPr>
        <w:ind w:firstLine="708"/>
        <w:rPr>
          <w:rFonts w:ascii="Times New Roman" w:hAnsi="Times New Roman"/>
          <w:b/>
          <w:sz w:val="24"/>
          <w:szCs w:val="24"/>
        </w:rPr>
      </w:pPr>
      <w:r w:rsidRPr="000D0014">
        <w:rPr>
          <w:rFonts w:ascii="Times New Roman" w:hAnsi="Times New Roman"/>
          <w:b/>
          <w:sz w:val="24"/>
          <w:szCs w:val="24"/>
        </w:rPr>
        <w:t>3. TÜRKİYE'DE İŞ CİNAYETLERİNİN ORANI AB'NİN 6'I KATI</w:t>
      </w:r>
    </w:p>
    <w:p w:rsidR="00581404" w:rsidRPr="00B16DC2" w:rsidRDefault="00581404" w:rsidP="00581404">
      <w:pPr>
        <w:rPr>
          <w:rFonts w:ascii="Times New Roman" w:hAnsi="Times New Roman"/>
          <w:sz w:val="24"/>
          <w:szCs w:val="24"/>
        </w:rPr>
      </w:pPr>
      <w:r w:rsidRPr="00B16DC2">
        <w:rPr>
          <w:rFonts w:ascii="Times New Roman" w:hAnsi="Times New Roman"/>
          <w:sz w:val="24"/>
          <w:szCs w:val="24"/>
        </w:rPr>
        <w:t>Türkiye iş cinayetleri açısından son derece kötü bir tabloya sahip. 100 bin işçi başına ölümlü iş kazası oranı bakımından sadece 1. değil aynı zamanda Türkiye'deki oranlar Avrupa ülkelerinin kat be kat üzerinde. Türkiye iş kazalarındaki yüksek kayıtdışı oranlarına rağmen, kayıtlı işgücü üzerinden yapılan hesaplamalar da bile Avrupa ülkeleri arasında son derece kötü bir yerde. 2013 yılı verileri üzerinden hazırladığımız karşılaştırma tablosuna göre Türkiye'de ölümlü iş kazası oranı Malta'nın 2, Hollanda'nın 17 katı. AB üyesi 27 ülkenin ortalamasının ise 6 Kat üzerindedir.</w:t>
      </w:r>
    </w:p>
    <w:p w:rsidR="00581404" w:rsidRPr="00B16DC2" w:rsidRDefault="00581404" w:rsidP="00581404">
      <w:pPr>
        <w:jc w:val="both"/>
        <w:rPr>
          <w:rFonts w:ascii="Times New Roman" w:hAnsi="Times New Roman"/>
          <w:sz w:val="24"/>
          <w:szCs w:val="24"/>
        </w:rPr>
      </w:pPr>
      <w:r w:rsidRPr="00B16DC2">
        <w:rPr>
          <w:rFonts w:ascii="Times New Roman" w:hAnsi="Times New Roman"/>
          <w:sz w:val="24"/>
          <w:szCs w:val="24"/>
        </w:rPr>
        <w:t xml:space="preserve">Grafik 3- Ülkelere göre 100 bin kişi başına ölümlü iş kazası oranı </w:t>
      </w:r>
    </w:p>
    <w:p w:rsidR="00581404" w:rsidRPr="00B16DC2" w:rsidRDefault="00581404" w:rsidP="00581404">
      <w:pPr>
        <w:rPr>
          <w:rFonts w:ascii="Times New Roman" w:hAnsi="Times New Roman"/>
          <w:sz w:val="24"/>
          <w:szCs w:val="24"/>
        </w:rPr>
      </w:pPr>
      <w:r w:rsidRPr="00B16DC2">
        <w:rPr>
          <w:rFonts w:ascii="Times New Roman" w:hAnsi="Times New Roman"/>
          <w:noProof/>
          <w:sz w:val="24"/>
          <w:szCs w:val="24"/>
          <w:lang w:eastAsia="tr-TR"/>
        </w:rPr>
        <w:lastRenderedPageBreak/>
        <w:drawing>
          <wp:inline distT="0" distB="0" distL="0" distR="0" wp14:anchorId="4C040968" wp14:editId="51E9CA93">
            <wp:extent cx="4391025" cy="3314700"/>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81404" w:rsidRPr="000D0014" w:rsidRDefault="00581404" w:rsidP="00581404">
      <w:pPr>
        <w:ind w:firstLine="708"/>
        <w:rPr>
          <w:rFonts w:ascii="Times New Roman" w:hAnsi="Times New Roman"/>
          <w:b/>
          <w:sz w:val="24"/>
          <w:szCs w:val="24"/>
        </w:rPr>
      </w:pPr>
      <w:r w:rsidRPr="000D0014">
        <w:rPr>
          <w:rFonts w:ascii="Times New Roman" w:hAnsi="Times New Roman"/>
          <w:b/>
          <w:sz w:val="24"/>
          <w:szCs w:val="24"/>
        </w:rPr>
        <w:t>4. METAL SEKTÖRÜNDEKİ İŞ CİNAYETLERİNDE TÜRKİYE'NİN YERİ</w:t>
      </w:r>
    </w:p>
    <w:p w:rsidR="00581404" w:rsidRDefault="00581404" w:rsidP="00581404">
      <w:pPr>
        <w:rPr>
          <w:rFonts w:ascii="Times New Roman" w:hAnsi="Times New Roman"/>
          <w:sz w:val="24"/>
          <w:szCs w:val="24"/>
        </w:rPr>
      </w:pPr>
      <w:r w:rsidRPr="00B16DC2">
        <w:rPr>
          <w:rFonts w:ascii="Times New Roman" w:hAnsi="Times New Roman"/>
          <w:sz w:val="24"/>
          <w:szCs w:val="24"/>
        </w:rPr>
        <w:t xml:space="preserve">Metal sektörü kapsamında değerlendirilen 7 alt sektör dikkate alındığında, AB ülkeleri ve Türkiye arasında iş cinayeti oranları açısından ciddi farkların olduğu görülmektedir. Grafikte 100 bin kişi başına düşen iş cinayeti oranı gösterilmektedir. Değerler AB için Eurostat (Avrupa İstatistik Kurumu) 2013, Türkiye için SGK (Sosyal Güvenlik Kurumu) 2013 yıllık verileri üzerinden hesaplanmıştır. </w:t>
      </w:r>
    </w:p>
    <w:p w:rsidR="00581404" w:rsidRPr="00B16DC2" w:rsidRDefault="00581404" w:rsidP="00581404">
      <w:pPr>
        <w:rPr>
          <w:rFonts w:ascii="Times New Roman" w:hAnsi="Times New Roman"/>
          <w:sz w:val="24"/>
          <w:szCs w:val="24"/>
        </w:rPr>
      </w:pPr>
      <w:r w:rsidRPr="00B16DC2">
        <w:rPr>
          <w:rFonts w:ascii="Times New Roman" w:hAnsi="Times New Roman"/>
          <w:sz w:val="24"/>
          <w:szCs w:val="24"/>
        </w:rPr>
        <w:t>Grafik 4- Metal sektöründe 100 bin çalışan başına ölümlü iş kazası oranları AB-Türkiye karşılaştırması</w:t>
      </w:r>
    </w:p>
    <w:p w:rsidR="00581404" w:rsidRPr="00B16DC2" w:rsidRDefault="00581404" w:rsidP="00581404">
      <w:pPr>
        <w:rPr>
          <w:rFonts w:ascii="Times New Roman" w:hAnsi="Times New Roman"/>
          <w:sz w:val="24"/>
          <w:szCs w:val="24"/>
        </w:rPr>
      </w:pPr>
      <w:r w:rsidRPr="00B16DC2">
        <w:rPr>
          <w:rFonts w:ascii="Times New Roman" w:hAnsi="Times New Roman"/>
          <w:noProof/>
          <w:sz w:val="24"/>
          <w:szCs w:val="24"/>
          <w:lang w:eastAsia="tr-TR"/>
        </w:rPr>
        <w:drawing>
          <wp:inline distT="0" distB="0" distL="0" distR="0" wp14:anchorId="110D438B" wp14:editId="44E4F2AE">
            <wp:extent cx="5760720" cy="2903626"/>
            <wp:effectExtent l="19050" t="0" r="11430" b="0"/>
            <wp:docPr id="13"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1404" w:rsidRPr="00B16DC2" w:rsidRDefault="00581404" w:rsidP="00581404">
      <w:pPr>
        <w:rPr>
          <w:rFonts w:ascii="Times New Roman" w:hAnsi="Times New Roman"/>
          <w:sz w:val="24"/>
          <w:szCs w:val="24"/>
        </w:rPr>
      </w:pPr>
      <w:r w:rsidRPr="00B16DC2">
        <w:rPr>
          <w:rFonts w:ascii="Times New Roman" w:hAnsi="Times New Roman"/>
          <w:sz w:val="24"/>
          <w:szCs w:val="24"/>
        </w:rPr>
        <w:t xml:space="preserve">27 AB ülkesi ortalaması ile Türkiye arasındaki fark son derece yüksektir. Türkiye'de 100 bin kayıtlı işçi başına düşen iş cinayeti sayısı metal sektöründe 5 ile 21 kişi arasında değişirken, bu oran AB ortalamasında 0,2-3,5 arasında değişmektedir. Türkiye'de metal sektöründeki iş cinayetleri oranı alt sektörüne göre AB ortalamasının 3 ila 30 katıdır.  En büyük fark Bilgisayar vb. imalatında görülürken, en az fark fabrikasyon metal ürünlerinin üretimindedir   </w:t>
      </w:r>
    </w:p>
    <w:p w:rsidR="00581404" w:rsidRPr="00B16DC2" w:rsidRDefault="00581404" w:rsidP="00581404">
      <w:pPr>
        <w:rPr>
          <w:rFonts w:ascii="Times New Roman" w:hAnsi="Times New Roman"/>
          <w:sz w:val="24"/>
          <w:szCs w:val="24"/>
        </w:rPr>
      </w:pPr>
      <w:r w:rsidRPr="00B16DC2">
        <w:rPr>
          <w:rFonts w:ascii="Times New Roman" w:hAnsi="Times New Roman"/>
          <w:sz w:val="24"/>
          <w:szCs w:val="24"/>
        </w:rPr>
        <w:t>Tablo 1- Metal sektöründe 100 bin çalışan başına ölümlü iş kazası oranları AB-Türkiye karşılaştırması</w:t>
      </w:r>
    </w:p>
    <w:tbl>
      <w:tblPr>
        <w:tblW w:w="6820" w:type="dxa"/>
        <w:tblInd w:w="65" w:type="dxa"/>
        <w:tblCellMar>
          <w:left w:w="70" w:type="dxa"/>
          <w:right w:w="70" w:type="dxa"/>
        </w:tblCellMar>
        <w:tblLook w:val="04A0" w:firstRow="1" w:lastRow="0" w:firstColumn="1" w:lastColumn="0" w:noHBand="0" w:noVBand="1"/>
      </w:tblPr>
      <w:tblGrid>
        <w:gridCol w:w="3580"/>
        <w:gridCol w:w="1080"/>
        <w:gridCol w:w="1080"/>
        <w:gridCol w:w="1080"/>
      </w:tblGrid>
      <w:tr w:rsidR="00581404" w:rsidRPr="00B16DC2" w:rsidTr="005E5ADF">
        <w:trPr>
          <w:trHeight w:val="285"/>
        </w:trPr>
        <w:tc>
          <w:tcPr>
            <w:tcW w:w="358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581404" w:rsidRPr="00B16DC2" w:rsidRDefault="00581404" w:rsidP="005E5ADF">
            <w:pPr>
              <w:spacing w:after="0" w:line="240" w:lineRule="auto"/>
              <w:rPr>
                <w:rFonts w:ascii="Times New Roman" w:eastAsia="Times New Roman" w:hAnsi="Times New Roman"/>
                <w:b/>
                <w:bCs/>
                <w:color w:val="FFFFFF"/>
                <w:sz w:val="24"/>
                <w:szCs w:val="24"/>
                <w:lang w:eastAsia="tr-TR"/>
              </w:rPr>
            </w:pPr>
            <w:r w:rsidRPr="00B16DC2">
              <w:rPr>
                <w:rFonts w:ascii="Times New Roman" w:eastAsia="Times New Roman" w:hAnsi="Times New Roman"/>
                <w:b/>
                <w:bCs/>
                <w:color w:val="FFFFFF"/>
                <w:sz w:val="24"/>
                <w:szCs w:val="24"/>
                <w:lang w:eastAsia="tr-TR"/>
              </w:rPr>
              <w:lastRenderedPageBreak/>
              <w:t>Sektör</w:t>
            </w:r>
          </w:p>
        </w:tc>
        <w:tc>
          <w:tcPr>
            <w:tcW w:w="108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581404" w:rsidRPr="00B16DC2" w:rsidRDefault="00581404" w:rsidP="005E5ADF">
            <w:pPr>
              <w:spacing w:after="0" w:line="240" w:lineRule="auto"/>
              <w:rPr>
                <w:rFonts w:ascii="Times New Roman" w:eastAsia="Times New Roman" w:hAnsi="Times New Roman"/>
                <w:b/>
                <w:bCs/>
                <w:color w:val="FFFFFF"/>
                <w:sz w:val="24"/>
                <w:szCs w:val="24"/>
                <w:lang w:eastAsia="tr-TR"/>
              </w:rPr>
            </w:pPr>
            <w:r w:rsidRPr="00B16DC2">
              <w:rPr>
                <w:rFonts w:ascii="Times New Roman" w:eastAsia="Times New Roman" w:hAnsi="Times New Roman"/>
                <w:b/>
                <w:bCs/>
                <w:color w:val="FFFFFF"/>
                <w:sz w:val="24"/>
                <w:szCs w:val="24"/>
                <w:lang w:eastAsia="tr-TR"/>
              </w:rPr>
              <w:t>Türkiye</w:t>
            </w:r>
          </w:p>
        </w:tc>
        <w:tc>
          <w:tcPr>
            <w:tcW w:w="108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581404" w:rsidRPr="00B16DC2" w:rsidRDefault="00581404" w:rsidP="005E5ADF">
            <w:pPr>
              <w:spacing w:after="0" w:line="240" w:lineRule="auto"/>
              <w:rPr>
                <w:rFonts w:ascii="Times New Roman" w:eastAsia="Times New Roman" w:hAnsi="Times New Roman"/>
                <w:b/>
                <w:bCs/>
                <w:color w:val="FFFFFF"/>
                <w:sz w:val="24"/>
                <w:szCs w:val="24"/>
                <w:lang w:eastAsia="tr-TR"/>
              </w:rPr>
            </w:pPr>
            <w:r w:rsidRPr="00B16DC2">
              <w:rPr>
                <w:rFonts w:ascii="Times New Roman" w:eastAsia="Times New Roman" w:hAnsi="Times New Roman"/>
                <w:b/>
                <w:bCs/>
                <w:color w:val="FFFFFF"/>
                <w:sz w:val="24"/>
                <w:szCs w:val="24"/>
                <w:lang w:eastAsia="tr-TR"/>
              </w:rPr>
              <w:t>AB27</w:t>
            </w:r>
          </w:p>
        </w:tc>
        <w:tc>
          <w:tcPr>
            <w:tcW w:w="108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581404" w:rsidRPr="00B16DC2" w:rsidRDefault="00581404" w:rsidP="005E5ADF">
            <w:pPr>
              <w:spacing w:after="0" w:line="240" w:lineRule="auto"/>
              <w:rPr>
                <w:rFonts w:ascii="Times New Roman" w:eastAsia="Times New Roman" w:hAnsi="Times New Roman"/>
                <w:b/>
                <w:bCs/>
                <w:color w:val="FFFFFF"/>
                <w:sz w:val="24"/>
                <w:szCs w:val="24"/>
                <w:lang w:eastAsia="tr-TR"/>
              </w:rPr>
            </w:pPr>
            <w:r w:rsidRPr="00B16DC2">
              <w:rPr>
                <w:rFonts w:ascii="Times New Roman" w:eastAsia="Times New Roman" w:hAnsi="Times New Roman"/>
                <w:b/>
                <w:bCs/>
                <w:color w:val="FFFFFF"/>
                <w:sz w:val="24"/>
                <w:szCs w:val="24"/>
                <w:lang w:eastAsia="tr-TR"/>
              </w:rPr>
              <w:t xml:space="preserve">TR/AB </w:t>
            </w:r>
          </w:p>
        </w:tc>
      </w:tr>
      <w:tr w:rsidR="00581404" w:rsidRPr="00B16DC2" w:rsidTr="005E5ADF">
        <w:trPr>
          <w:trHeight w:val="285"/>
        </w:trPr>
        <w:tc>
          <w:tcPr>
            <w:tcW w:w="3580" w:type="dxa"/>
            <w:tcBorders>
              <w:top w:val="single" w:sz="4" w:space="0" w:color="auto"/>
              <w:left w:val="single" w:sz="4" w:space="0" w:color="auto"/>
              <w:bottom w:val="single" w:sz="4" w:space="0" w:color="auto"/>
              <w:right w:val="single" w:sz="4" w:space="0" w:color="auto"/>
            </w:tcBorders>
            <w:shd w:val="clear" w:color="DEEBF6" w:fill="DEEBF6"/>
            <w:vAlign w:val="center"/>
            <w:hideMark/>
          </w:tcPr>
          <w:p w:rsidR="00581404" w:rsidRPr="00B16DC2" w:rsidRDefault="00581404" w:rsidP="005E5ADF">
            <w:pPr>
              <w:spacing w:after="0" w:line="240" w:lineRule="auto"/>
              <w:rPr>
                <w:rFonts w:ascii="Times New Roman" w:eastAsia="Times New Roman" w:hAnsi="Times New Roman"/>
                <w:b/>
                <w:bCs/>
                <w:sz w:val="24"/>
                <w:szCs w:val="24"/>
                <w:lang w:eastAsia="tr-TR"/>
              </w:rPr>
            </w:pPr>
            <w:r w:rsidRPr="00B16DC2">
              <w:rPr>
                <w:rFonts w:ascii="Times New Roman" w:eastAsia="Times New Roman" w:hAnsi="Times New Roman"/>
                <w:b/>
                <w:bCs/>
                <w:sz w:val="24"/>
                <w:szCs w:val="24"/>
                <w:lang w:eastAsia="tr-TR"/>
              </w:rPr>
              <w:t>24-Ana metal sanayii</w:t>
            </w:r>
          </w:p>
        </w:tc>
        <w:tc>
          <w:tcPr>
            <w:tcW w:w="1080" w:type="dxa"/>
            <w:tcBorders>
              <w:top w:val="single" w:sz="4" w:space="0" w:color="auto"/>
              <w:left w:val="single" w:sz="4" w:space="0" w:color="auto"/>
              <w:bottom w:val="single" w:sz="4" w:space="0" w:color="auto"/>
              <w:right w:val="single" w:sz="4" w:space="0" w:color="auto"/>
            </w:tcBorders>
            <w:shd w:val="clear" w:color="DEEBF6" w:fill="DEEBF6"/>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21,3</w:t>
            </w:r>
          </w:p>
        </w:tc>
        <w:tc>
          <w:tcPr>
            <w:tcW w:w="1080" w:type="dxa"/>
            <w:tcBorders>
              <w:top w:val="single" w:sz="4" w:space="0" w:color="auto"/>
              <w:left w:val="single" w:sz="4" w:space="0" w:color="auto"/>
              <w:bottom w:val="single" w:sz="4" w:space="0" w:color="auto"/>
              <w:right w:val="single" w:sz="4" w:space="0" w:color="auto"/>
            </w:tcBorders>
            <w:shd w:val="clear" w:color="DEEBF6" w:fill="DEEBF6"/>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3,52</w:t>
            </w:r>
          </w:p>
        </w:tc>
        <w:tc>
          <w:tcPr>
            <w:tcW w:w="1080" w:type="dxa"/>
            <w:tcBorders>
              <w:top w:val="single" w:sz="4" w:space="0" w:color="auto"/>
              <w:left w:val="single" w:sz="4" w:space="0" w:color="auto"/>
              <w:bottom w:val="single" w:sz="4" w:space="0" w:color="auto"/>
              <w:right w:val="single" w:sz="4" w:space="0" w:color="auto"/>
            </w:tcBorders>
            <w:shd w:val="clear" w:color="DEEBF6" w:fill="DEEBF6"/>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6</w:t>
            </w:r>
          </w:p>
        </w:tc>
      </w:tr>
      <w:tr w:rsidR="00581404" w:rsidRPr="00B16DC2" w:rsidTr="005E5ADF">
        <w:trPr>
          <w:trHeight w:val="28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404" w:rsidRPr="00B16DC2" w:rsidRDefault="00581404" w:rsidP="005E5ADF">
            <w:pPr>
              <w:spacing w:after="0" w:line="240" w:lineRule="auto"/>
              <w:rPr>
                <w:rFonts w:ascii="Times New Roman" w:eastAsia="Times New Roman" w:hAnsi="Times New Roman"/>
                <w:b/>
                <w:bCs/>
                <w:sz w:val="24"/>
                <w:szCs w:val="24"/>
                <w:lang w:eastAsia="tr-TR"/>
              </w:rPr>
            </w:pPr>
            <w:r w:rsidRPr="00B16DC2">
              <w:rPr>
                <w:rFonts w:ascii="Times New Roman" w:eastAsia="Times New Roman" w:hAnsi="Times New Roman"/>
                <w:b/>
                <w:bCs/>
                <w:sz w:val="24"/>
                <w:szCs w:val="24"/>
                <w:lang w:eastAsia="tr-TR"/>
              </w:rPr>
              <w:t>25-Makine ve teçhizat hariç. Fabrikasyon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9,3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2,77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3</w:t>
            </w:r>
          </w:p>
        </w:tc>
      </w:tr>
      <w:tr w:rsidR="00581404" w:rsidRPr="00B16DC2" w:rsidTr="005E5ADF">
        <w:trPr>
          <w:trHeight w:val="285"/>
        </w:trPr>
        <w:tc>
          <w:tcPr>
            <w:tcW w:w="3580" w:type="dxa"/>
            <w:tcBorders>
              <w:top w:val="single" w:sz="4" w:space="0" w:color="auto"/>
              <w:left w:val="single" w:sz="4" w:space="0" w:color="auto"/>
              <w:bottom w:val="single" w:sz="4" w:space="0" w:color="auto"/>
              <w:right w:val="single" w:sz="4" w:space="0" w:color="auto"/>
            </w:tcBorders>
            <w:shd w:val="clear" w:color="DEEBF6" w:fill="DEEBF6"/>
            <w:vAlign w:val="center"/>
            <w:hideMark/>
          </w:tcPr>
          <w:p w:rsidR="00581404" w:rsidRPr="00B16DC2" w:rsidRDefault="00581404" w:rsidP="005E5ADF">
            <w:pPr>
              <w:spacing w:after="0" w:line="240" w:lineRule="auto"/>
              <w:rPr>
                <w:rFonts w:ascii="Times New Roman" w:eastAsia="Times New Roman" w:hAnsi="Times New Roman"/>
                <w:b/>
                <w:bCs/>
                <w:sz w:val="24"/>
                <w:szCs w:val="24"/>
                <w:lang w:eastAsia="tr-TR"/>
              </w:rPr>
            </w:pPr>
            <w:r w:rsidRPr="00B16DC2">
              <w:rPr>
                <w:rFonts w:ascii="Times New Roman" w:eastAsia="Times New Roman" w:hAnsi="Times New Roman"/>
                <w:b/>
                <w:bCs/>
                <w:sz w:val="24"/>
                <w:szCs w:val="24"/>
                <w:lang w:eastAsia="tr-TR"/>
              </w:rPr>
              <w:t>26-Bilgisayar vb. ürünlerin imalatı</w:t>
            </w:r>
          </w:p>
        </w:tc>
        <w:tc>
          <w:tcPr>
            <w:tcW w:w="1080" w:type="dxa"/>
            <w:tcBorders>
              <w:top w:val="single" w:sz="4" w:space="0" w:color="auto"/>
              <w:left w:val="single" w:sz="4" w:space="0" w:color="auto"/>
              <w:bottom w:val="single" w:sz="4" w:space="0" w:color="auto"/>
              <w:right w:val="single" w:sz="4" w:space="0" w:color="auto"/>
            </w:tcBorders>
            <w:shd w:val="clear" w:color="DEEBF6" w:fill="DEEBF6"/>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6,2</w:t>
            </w:r>
          </w:p>
        </w:tc>
        <w:tc>
          <w:tcPr>
            <w:tcW w:w="1080" w:type="dxa"/>
            <w:tcBorders>
              <w:top w:val="single" w:sz="4" w:space="0" w:color="auto"/>
              <w:left w:val="single" w:sz="4" w:space="0" w:color="auto"/>
              <w:bottom w:val="single" w:sz="4" w:space="0" w:color="auto"/>
              <w:right w:val="single" w:sz="4" w:space="0" w:color="auto"/>
            </w:tcBorders>
            <w:shd w:val="clear" w:color="DEEBF6" w:fill="DEEBF6"/>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0,21</w:t>
            </w:r>
          </w:p>
        </w:tc>
        <w:tc>
          <w:tcPr>
            <w:tcW w:w="1080" w:type="dxa"/>
            <w:tcBorders>
              <w:top w:val="single" w:sz="4" w:space="0" w:color="auto"/>
              <w:left w:val="single" w:sz="4" w:space="0" w:color="auto"/>
              <w:bottom w:val="single" w:sz="4" w:space="0" w:color="auto"/>
              <w:right w:val="single" w:sz="4" w:space="0" w:color="auto"/>
            </w:tcBorders>
            <w:shd w:val="clear" w:color="DEEBF6" w:fill="DEEBF6"/>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30</w:t>
            </w:r>
          </w:p>
        </w:tc>
      </w:tr>
      <w:tr w:rsidR="00581404" w:rsidRPr="00B16DC2" w:rsidTr="005E5ADF">
        <w:trPr>
          <w:trHeight w:val="28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404" w:rsidRPr="00B16DC2" w:rsidRDefault="00581404" w:rsidP="005E5ADF">
            <w:pPr>
              <w:spacing w:after="0" w:line="240" w:lineRule="auto"/>
              <w:rPr>
                <w:rFonts w:ascii="Times New Roman" w:eastAsia="Times New Roman" w:hAnsi="Times New Roman"/>
                <w:b/>
                <w:bCs/>
                <w:sz w:val="24"/>
                <w:szCs w:val="24"/>
                <w:lang w:eastAsia="tr-TR"/>
              </w:rPr>
            </w:pPr>
            <w:r w:rsidRPr="00B16DC2">
              <w:rPr>
                <w:rFonts w:ascii="Times New Roman" w:eastAsia="Times New Roman" w:hAnsi="Times New Roman"/>
                <w:b/>
                <w:bCs/>
                <w:sz w:val="24"/>
                <w:szCs w:val="24"/>
                <w:lang w:eastAsia="tr-TR"/>
              </w:rPr>
              <w:t>27-Elektrikli teçhizat imalatı</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6,4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1,25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5</w:t>
            </w:r>
          </w:p>
        </w:tc>
      </w:tr>
      <w:tr w:rsidR="00581404" w:rsidRPr="00B16DC2" w:rsidTr="005E5ADF">
        <w:trPr>
          <w:trHeight w:val="285"/>
        </w:trPr>
        <w:tc>
          <w:tcPr>
            <w:tcW w:w="3580" w:type="dxa"/>
            <w:tcBorders>
              <w:top w:val="single" w:sz="4" w:space="0" w:color="auto"/>
              <w:left w:val="single" w:sz="4" w:space="0" w:color="auto"/>
              <w:bottom w:val="single" w:sz="4" w:space="0" w:color="auto"/>
              <w:right w:val="single" w:sz="4" w:space="0" w:color="auto"/>
            </w:tcBorders>
            <w:shd w:val="clear" w:color="DEEBF6" w:fill="DEEBF6"/>
            <w:vAlign w:val="center"/>
            <w:hideMark/>
          </w:tcPr>
          <w:p w:rsidR="00581404" w:rsidRPr="00B16DC2" w:rsidRDefault="00581404" w:rsidP="005E5ADF">
            <w:pPr>
              <w:spacing w:after="0" w:line="240" w:lineRule="auto"/>
              <w:rPr>
                <w:rFonts w:ascii="Times New Roman" w:eastAsia="Times New Roman" w:hAnsi="Times New Roman"/>
                <w:b/>
                <w:bCs/>
                <w:sz w:val="24"/>
                <w:szCs w:val="24"/>
                <w:lang w:eastAsia="tr-TR"/>
              </w:rPr>
            </w:pPr>
            <w:r w:rsidRPr="00B16DC2">
              <w:rPr>
                <w:rFonts w:ascii="Times New Roman" w:eastAsia="Times New Roman" w:hAnsi="Times New Roman"/>
                <w:b/>
                <w:bCs/>
                <w:sz w:val="24"/>
                <w:szCs w:val="24"/>
                <w:lang w:eastAsia="tr-TR"/>
              </w:rPr>
              <w:t>28-BYS makine ve ekipman imalatı</w:t>
            </w:r>
          </w:p>
        </w:tc>
        <w:tc>
          <w:tcPr>
            <w:tcW w:w="1080" w:type="dxa"/>
            <w:tcBorders>
              <w:top w:val="single" w:sz="4" w:space="0" w:color="auto"/>
              <w:left w:val="single" w:sz="4" w:space="0" w:color="auto"/>
              <w:bottom w:val="single" w:sz="4" w:space="0" w:color="auto"/>
              <w:right w:val="single" w:sz="4" w:space="0" w:color="auto"/>
            </w:tcBorders>
            <w:shd w:val="clear" w:color="DEEBF6" w:fill="DEEBF6"/>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6,6</w:t>
            </w:r>
          </w:p>
        </w:tc>
        <w:tc>
          <w:tcPr>
            <w:tcW w:w="1080" w:type="dxa"/>
            <w:tcBorders>
              <w:top w:val="single" w:sz="4" w:space="0" w:color="auto"/>
              <w:left w:val="single" w:sz="4" w:space="0" w:color="auto"/>
              <w:bottom w:val="single" w:sz="4" w:space="0" w:color="auto"/>
              <w:right w:val="single" w:sz="4" w:space="0" w:color="auto"/>
            </w:tcBorders>
            <w:shd w:val="clear" w:color="DEEBF6" w:fill="DEEBF6"/>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1,2</w:t>
            </w:r>
          </w:p>
        </w:tc>
        <w:tc>
          <w:tcPr>
            <w:tcW w:w="1080" w:type="dxa"/>
            <w:tcBorders>
              <w:top w:val="single" w:sz="4" w:space="0" w:color="auto"/>
              <w:left w:val="single" w:sz="4" w:space="0" w:color="auto"/>
              <w:bottom w:val="single" w:sz="4" w:space="0" w:color="auto"/>
              <w:right w:val="single" w:sz="4" w:space="0" w:color="auto"/>
            </w:tcBorders>
            <w:shd w:val="clear" w:color="DEEBF6" w:fill="DEEBF6"/>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6</w:t>
            </w:r>
          </w:p>
        </w:tc>
      </w:tr>
      <w:tr w:rsidR="00581404" w:rsidRPr="00B16DC2" w:rsidTr="005E5ADF">
        <w:trPr>
          <w:trHeight w:val="285"/>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404" w:rsidRPr="00B16DC2" w:rsidRDefault="00581404" w:rsidP="005E5ADF">
            <w:pPr>
              <w:spacing w:after="0" w:line="240" w:lineRule="auto"/>
              <w:rPr>
                <w:rFonts w:ascii="Times New Roman" w:eastAsia="Times New Roman" w:hAnsi="Times New Roman"/>
                <w:b/>
                <w:bCs/>
                <w:sz w:val="24"/>
                <w:szCs w:val="24"/>
                <w:lang w:eastAsia="tr-TR"/>
              </w:rPr>
            </w:pPr>
            <w:r w:rsidRPr="00B16DC2">
              <w:rPr>
                <w:rFonts w:ascii="Times New Roman" w:eastAsia="Times New Roman" w:hAnsi="Times New Roman"/>
                <w:b/>
                <w:bCs/>
                <w:sz w:val="24"/>
                <w:szCs w:val="24"/>
                <w:lang w:eastAsia="tr-TR"/>
              </w:rPr>
              <w:t>29-Motorlu kara taşıtı vb.</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0,52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10</w:t>
            </w:r>
          </w:p>
        </w:tc>
      </w:tr>
      <w:tr w:rsidR="00581404" w:rsidRPr="00B16DC2" w:rsidTr="005E5ADF">
        <w:trPr>
          <w:trHeight w:val="285"/>
        </w:trPr>
        <w:tc>
          <w:tcPr>
            <w:tcW w:w="3580" w:type="dxa"/>
            <w:tcBorders>
              <w:top w:val="single" w:sz="4" w:space="0" w:color="auto"/>
              <w:left w:val="single" w:sz="4" w:space="0" w:color="auto"/>
              <w:bottom w:val="single" w:sz="4" w:space="0" w:color="auto"/>
              <w:right w:val="single" w:sz="4" w:space="0" w:color="auto"/>
            </w:tcBorders>
            <w:shd w:val="clear" w:color="DEEBF6" w:fill="DEEBF6"/>
            <w:vAlign w:val="center"/>
            <w:hideMark/>
          </w:tcPr>
          <w:p w:rsidR="00581404" w:rsidRPr="00B16DC2" w:rsidRDefault="00581404" w:rsidP="005E5ADF">
            <w:pPr>
              <w:spacing w:after="0" w:line="240" w:lineRule="auto"/>
              <w:rPr>
                <w:rFonts w:ascii="Times New Roman" w:eastAsia="Times New Roman" w:hAnsi="Times New Roman"/>
                <w:b/>
                <w:bCs/>
                <w:sz w:val="24"/>
                <w:szCs w:val="24"/>
                <w:lang w:eastAsia="tr-TR"/>
              </w:rPr>
            </w:pPr>
            <w:r w:rsidRPr="00B16DC2">
              <w:rPr>
                <w:rFonts w:ascii="Times New Roman" w:eastAsia="Times New Roman" w:hAnsi="Times New Roman"/>
                <w:b/>
                <w:bCs/>
                <w:sz w:val="24"/>
                <w:szCs w:val="24"/>
                <w:lang w:eastAsia="tr-TR"/>
              </w:rPr>
              <w:t>30-Diğer ulaşım araçlarının imalatı</w:t>
            </w:r>
          </w:p>
        </w:tc>
        <w:tc>
          <w:tcPr>
            <w:tcW w:w="1080" w:type="dxa"/>
            <w:tcBorders>
              <w:top w:val="single" w:sz="4" w:space="0" w:color="auto"/>
              <w:left w:val="single" w:sz="4" w:space="0" w:color="auto"/>
              <w:bottom w:val="single" w:sz="4" w:space="0" w:color="auto"/>
              <w:right w:val="single" w:sz="4" w:space="0" w:color="auto"/>
            </w:tcBorders>
            <w:shd w:val="clear" w:color="DEEBF6" w:fill="DEEBF6"/>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15,9</w:t>
            </w:r>
          </w:p>
        </w:tc>
        <w:tc>
          <w:tcPr>
            <w:tcW w:w="1080" w:type="dxa"/>
            <w:tcBorders>
              <w:top w:val="single" w:sz="4" w:space="0" w:color="auto"/>
              <w:left w:val="single" w:sz="4" w:space="0" w:color="auto"/>
              <w:bottom w:val="single" w:sz="4" w:space="0" w:color="auto"/>
              <w:right w:val="single" w:sz="4" w:space="0" w:color="auto"/>
            </w:tcBorders>
            <w:shd w:val="clear" w:color="DEEBF6" w:fill="DEEBF6"/>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1,04</w:t>
            </w:r>
          </w:p>
        </w:tc>
        <w:tc>
          <w:tcPr>
            <w:tcW w:w="1080" w:type="dxa"/>
            <w:tcBorders>
              <w:top w:val="single" w:sz="4" w:space="0" w:color="auto"/>
              <w:left w:val="single" w:sz="4" w:space="0" w:color="auto"/>
              <w:bottom w:val="single" w:sz="4" w:space="0" w:color="auto"/>
              <w:right w:val="single" w:sz="4" w:space="0" w:color="auto"/>
            </w:tcBorders>
            <w:shd w:val="clear" w:color="DEEBF6" w:fill="DEEBF6"/>
            <w:noWrap/>
            <w:vAlign w:val="bottom"/>
            <w:hideMark/>
          </w:tcPr>
          <w:p w:rsidR="00581404" w:rsidRPr="00B16DC2" w:rsidRDefault="00581404" w:rsidP="005E5ADF">
            <w:pPr>
              <w:spacing w:after="0" w:line="240" w:lineRule="auto"/>
              <w:rPr>
                <w:rFonts w:ascii="Times New Roman" w:eastAsia="Times New Roman" w:hAnsi="Times New Roman"/>
                <w:color w:val="000000"/>
                <w:sz w:val="24"/>
                <w:szCs w:val="24"/>
                <w:lang w:eastAsia="tr-TR"/>
              </w:rPr>
            </w:pPr>
            <w:r w:rsidRPr="00B16DC2">
              <w:rPr>
                <w:rFonts w:ascii="Times New Roman" w:eastAsia="Times New Roman" w:hAnsi="Times New Roman"/>
                <w:color w:val="000000"/>
                <w:sz w:val="24"/>
                <w:szCs w:val="24"/>
                <w:lang w:eastAsia="tr-TR"/>
              </w:rPr>
              <w:t>15</w:t>
            </w:r>
          </w:p>
        </w:tc>
      </w:tr>
    </w:tbl>
    <w:p w:rsidR="00581404" w:rsidRPr="00B16DC2" w:rsidRDefault="00581404" w:rsidP="00581404">
      <w:pPr>
        <w:rPr>
          <w:rFonts w:ascii="Times New Roman" w:hAnsi="Times New Roman"/>
          <w:sz w:val="24"/>
          <w:szCs w:val="24"/>
        </w:rPr>
      </w:pPr>
      <w:r w:rsidRPr="00B16DC2">
        <w:rPr>
          <w:rFonts w:ascii="Times New Roman" w:hAnsi="Times New Roman"/>
          <w:sz w:val="24"/>
          <w:szCs w:val="24"/>
        </w:rPr>
        <w:t xml:space="preserve">  </w:t>
      </w:r>
    </w:p>
    <w:p w:rsidR="00581404" w:rsidRDefault="00581404" w:rsidP="00581404">
      <w:pPr>
        <w:rPr>
          <w:rFonts w:ascii="Times New Roman" w:hAnsi="Times New Roman"/>
          <w:sz w:val="24"/>
          <w:szCs w:val="24"/>
        </w:rPr>
      </w:pPr>
      <w:r w:rsidRPr="00B16DC2">
        <w:rPr>
          <w:rFonts w:ascii="Times New Roman" w:hAnsi="Times New Roman"/>
          <w:sz w:val="24"/>
          <w:szCs w:val="24"/>
        </w:rPr>
        <w:t>Alt sektörleri detaylı olarak irdelediğimizde Türkiye metal sektöründeki işçi cinayetleri açısından 2013 yılında Türkiye dahil 31 Avrupa ülkesi arasında 1 sektörde birinci, 4 sektörde 2., 2 sektörde ise 4. olarak görülmektedir. Sektörde pek çok AB ülkesi için herhangi bir iş cinayeti görülmemektedir.</w:t>
      </w:r>
    </w:p>
    <w:p w:rsidR="00581404" w:rsidRPr="00B16DC2" w:rsidRDefault="00581404" w:rsidP="00581404">
      <w:pPr>
        <w:rPr>
          <w:rFonts w:ascii="Times New Roman" w:hAnsi="Times New Roman"/>
          <w:sz w:val="24"/>
          <w:szCs w:val="24"/>
        </w:rPr>
      </w:pPr>
    </w:p>
    <w:p w:rsidR="00581404" w:rsidRDefault="00581404" w:rsidP="00581404">
      <w:pPr>
        <w:ind w:left="360"/>
        <w:rPr>
          <w:rFonts w:ascii="Times New Roman" w:hAnsi="Times New Roman"/>
          <w:sz w:val="24"/>
          <w:szCs w:val="24"/>
        </w:rPr>
      </w:pPr>
      <w:r>
        <w:rPr>
          <w:rFonts w:ascii="Times New Roman" w:hAnsi="Times New Roman"/>
          <w:sz w:val="24"/>
          <w:szCs w:val="24"/>
        </w:rPr>
        <w:t>4</w:t>
      </w:r>
      <w:r w:rsidRPr="00B16DC2">
        <w:rPr>
          <w:rFonts w:ascii="Times New Roman" w:hAnsi="Times New Roman"/>
          <w:sz w:val="24"/>
          <w:szCs w:val="24"/>
        </w:rPr>
        <w:t>.a. Ana metal sanayi</w:t>
      </w:r>
    </w:p>
    <w:p w:rsidR="00581404" w:rsidRPr="00B16DC2" w:rsidRDefault="00581404" w:rsidP="00581404">
      <w:pPr>
        <w:ind w:left="360"/>
        <w:rPr>
          <w:rFonts w:ascii="Times New Roman" w:hAnsi="Times New Roman"/>
          <w:sz w:val="24"/>
          <w:szCs w:val="24"/>
        </w:rPr>
      </w:pPr>
      <w:r>
        <w:rPr>
          <w:rFonts w:ascii="Times New Roman" w:hAnsi="Times New Roman"/>
          <w:sz w:val="24"/>
          <w:szCs w:val="24"/>
        </w:rPr>
        <w:t xml:space="preserve">Grafik 5- Ana metal sanayinde Türkiye- AB karşılaştırması </w:t>
      </w:r>
    </w:p>
    <w:p w:rsidR="00581404" w:rsidRPr="00B16DC2" w:rsidRDefault="00581404" w:rsidP="00581404">
      <w:pPr>
        <w:rPr>
          <w:rFonts w:ascii="Times New Roman" w:hAnsi="Times New Roman"/>
          <w:sz w:val="24"/>
          <w:szCs w:val="24"/>
        </w:rPr>
      </w:pPr>
      <w:r w:rsidRPr="00B16DC2">
        <w:rPr>
          <w:rFonts w:ascii="Times New Roman" w:hAnsi="Times New Roman"/>
          <w:noProof/>
          <w:sz w:val="24"/>
          <w:szCs w:val="24"/>
          <w:lang w:eastAsia="tr-TR"/>
        </w:rPr>
        <w:drawing>
          <wp:inline distT="0" distB="0" distL="0" distR="0" wp14:anchorId="1E3EC61E" wp14:editId="69433C9F">
            <wp:extent cx="4572000" cy="2867025"/>
            <wp:effectExtent l="0" t="0" r="0" b="0"/>
            <wp:docPr id="7"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1404" w:rsidRPr="00B16DC2" w:rsidRDefault="00581404" w:rsidP="00581404">
      <w:pPr>
        <w:rPr>
          <w:rFonts w:ascii="Times New Roman" w:hAnsi="Times New Roman"/>
          <w:sz w:val="24"/>
          <w:szCs w:val="24"/>
        </w:rPr>
      </w:pPr>
      <w:r w:rsidRPr="00B16DC2">
        <w:rPr>
          <w:rFonts w:ascii="Times New Roman" w:hAnsi="Times New Roman"/>
          <w:sz w:val="24"/>
          <w:szCs w:val="24"/>
        </w:rPr>
        <w:t>Ana metal sanayinde 2013 yılında 12 ülkede iş cinayete yaşanmamıştır. Oran olarak birinci olan ülke Hırvatistan'dır. Ancak Hırvatistan'daki ölümlü iş kazası sayısı sadece 2'dir. Türkiye'de ise aynı dönemde 34 kişi iş cinayeti sonucunda hayatını kaybetmiştir. Oranlarda Hırvatistan'ın yüksek çıkmasının nedeni ilgili sektörde çalışan kişinin sayısının azlığıdır. Türkiye'den sonra ölüm sayısının en fazla olduğu ülke 5 ile Almanya'dır.</w:t>
      </w:r>
    </w:p>
    <w:p w:rsidR="00581404" w:rsidRDefault="00581404" w:rsidP="00581404">
      <w:pPr>
        <w:ind w:firstLine="708"/>
        <w:rPr>
          <w:rFonts w:ascii="Times New Roman" w:hAnsi="Times New Roman"/>
          <w:sz w:val="24"/>
          <w:szCs w:val="24"/>
        </w:rPr>
      </w:pPr>
      <w:r>
        <w:rPr>
          <w:rFonts w:ascii="Times New Roman" w:hAnsi="Times New Roman"/>
          <w:sz w:val="24"/>
          <w:szCs w:val="24"/>
        </w:rPr>
        <w:t>4</w:t>
      </w:r>
      <w:r w:rsidRPr="00B16DC2">
        <w:rPr>
          <w:rFonts w:ascii="Times New Roman" w:hAnsi="Times New Roman"/>
          <w:sz w:val="24"/>
          <w:szCs w:val="24"/>
        </w:rPr>
        <w:t>.b. Makine ve teçhizat hariç. fabrikasyon metal ürünleri imalatı</w:t>
      </w:r>
    </w:p>
    <w:p w:rsidR="00581404" w:rsidRPr="00B16DC2" w:rsidRDefault="00581404" w:rsidP="00581404">
      <w:pPr>
        <w:spacing w:line="240" w:lineRule="auto"/>
        <w:rPr>
          <w:rFonts w:ascii="Times New Roman" w:hAnsi="Times New Roman"/>
          <w:sz w:val="24"/>
          <w:szCs w:val="24"/>
        </w:rPr>
      </w:pPr>
      <w:r>
        <w:rPr>
          <w:rFonts w:ascii="Times New Roman" w:hAnsi="Times New Roman"/>
          <w:sz w:val="24"/>
          <w:szCs w:val="24"/>
        </w:rPr>
        <w:t xml:space="preserve">Grafik 6- </w:t>
      </w:r>
      <w:r w:rsidRPr="00B16DC2">
        <w:rPr>
          <w:rFonts w:ascii="Times New Roman" w:hAnsi="Times New Roman"/>
          <w:sz w:val="24"/>
          <w:szCs w:val="24"/>
        </w:rPr>
        <w:t>Makine ve teçhizat hariç. fabrikasyon metal ürünleri imalatı</w:t>
      </w:r>
      <w:r>
        <w:rPr>
          <w:rFonts w:ascii="Times New Roman" w:hAnsi="Times New Roman"/>
          <w:sz w:val="24"/>
          <w:szCs w:val="24"/>
        </w:rPr>
        <w:t xml:space="preserve"> Türkiye- AB karşılaştırması </w:t>
      </w:r>
    </w:p>
    <w:p w:rsidR="00581404" w:rsidRPr="00B16DC2" w:rsidRDefault="00581404" w:rsidP="00581404">
      <w:pPr>
        <w:rPr>
          <w:rFonts w:ascii="Times New Roman" w:hAnsi="Times New Roman"/>
          <w:sz w:val="24"/>
          <w:szCs w:val="24"/>
        </w:rPr>
      </w:pPr>
      <w:r w:rsidRPr="00B16DC2">
        <w:rPr>
          <w:rFonts w:ascii="Times New Roman" w:hAnsi="Times New Roman"/>
          <w:noProof/>
          <w:sz w:val="24"/>
          <w:szCs w:val="24"/>
          <w:lang w:eastAsia="tr-TR"/>
        </w:rPr>
        <w:lastRenderedPageBreak/>
        <w:drawing>
          <wp:inline distT="0" distB="0" distL="0" distR="0" wp14:anchorId="537983CA" wp14:editId="77C1C907">
            <wp:extent cx="5181600" cy="3267075"/>
            <wp:effectExtent l="0" t="0" r="0" b="0"/>
            <wp:docPr id="8"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1404" w:rsidRPr="00B16DC2" w:rsidRDefault="00581404" w:rsidP="00581404">
      <w:pPr>
        <w:rPr>
          <w:rFonts w:ascii="Times New Roman" w:hAnsi="Times New Roman"/>
          <w:sz w:val="24"/>
          <w:szCs w:val="24"/>
        </w:rPr>
      </w:pPr>
      <w:r w:rsidRPr="00B16DC2">
        <w:rPr>
          <w:rFonts w:ascii="Times New Roman" w:hAnsi="Times New Roman"/>
          <w:sz w:val="24"/>
          <w:szCs w:val="24"/>
        </w:rPr>
        <w:t>Makine ve teçhizat hariç. fabrikasyon metal ürünleri imalatı alanında yaşanan ölümlü iş kazası sayısı Türkiye için 35'tir. Bu dönem için İtalya'da 18, Almanya'da 15 ölümlü iş kazası yaşanmıştır. Kıbrıs sadece 1 ölümlü iş kazası ile oransal olarak birinci sırada görülmektedir. Bu sayı Romanya'da 7, Portekiz'de 9'dur.</w:t>
      </w:r>
    </w:p>
    <w:p w:rsidR="00581404" w:rsidRDefault="00581404" w:rsidP="00581404">
      <w:pPr>
        <w:ind w:firstLine="708"/>
        <w:rPr>
          <w:rFonts w:ascii="Times New Roman" w:hAnsi="Times New Roman"/>
          <w:sz w:val="24"/>
          <w:szCs w:val="24"/>
        </w:rPr>
      </w:pPr>
      <w:r>
        <w:rPr>
          <w:rFonts w:ascii="Times New Roman" w:hAnsi="Times New Roman"/>
          <w:sz w:val="24"/>
          <w:szCs w:val="24"/>
        </w:rPr>
        <w:t>4</w:t>
      </w:r>
      <w:r w:rsidRPr="00B16DC2">
        <w:rPr>
          <w:rFonts w:ascii="Times New Roman" w:hAnsi="Times New Roman"/>
          <w:sz w:val="24"/>
          <w:szCs w:val="24"/>
        </w:rPr>
        <w:t>.c. Bilgisayarların. elektronik ve optik ürünlerin imalatı</w:t>
      </w:r>
    </w:p>
    <w:p w:rsidR="00581404" w:rsidRDefault="00581404" w:rsidP="00581404">
      <w:pPr>
        <w:rPr>
          <w:rFonts w:ascii="Times New Roman" w:hAnsi="Times New Roman"/>
          <w:sz w:val="24"/>
          <w:szCs w:val="24"/>
        </w:rPr>
      </w:pPr>
      <w:r>
        <w:rPr>
          <w:rFonts w:ascii="Times New Roman" w:hAnsi="Times New Roman"/>
          <w:sz w:val="24"/>
          <w:szCs w:val="24"/>
        </w:rPr>
        <w:t xml:space="preserve">Grafik 7- </w:t>
      </w:r>
      <w:r w:rsidRPr="00B16DC2">
        <w:rPr>
          <w:rFonts w:ascii="Times New Roman" w:hAnsi="Times New Roman"/>
          <w:sz w:val="24"/>
          <w:szCs w:val="24"/>
        </w:rPr>
        <w:t>Bilgisayarların. elektronik ve optik ürünlerin imalatı</w:t>
      </w:r>
      <w:r>
        <w:rPr>
          <w:rFonts w:ascii="Times New Roman" w:hAnsi="Times New Roman"/>
          <w:sz w:val="24"/>
          <w:szCs w:val="24"/>
        </w:rPr>
        <w:t xml:space="preserve"> Türkiye- AB karşılaştırması </w:t>
      </w:r>
    </w:p>
    <w:p w:rsidR="00581404" w:rsidRPr="00B16DC2" w:rsidRDefault="00581404" w:rsidP="00581404">
      <w:pPr>
        <w:rPr>
          <w:rFonts w:ascii="Times New Roman" w:hAnsi="Times New Roman"/>
          <w:sz w:val="24"/>
          <w:szCs w:val="24"/>
        </w:rPr>
      </w:pPr>
      <w:r w:rsidRPr="00B16DC2">
        <w:rPr>
          <w:rFonts w:ascii="Times New Roman" w:hAnsi="Times New Roman"/>
          <w:noProof/>
          <w:sz w:val="24"/>
          <w:szCs w:val="24"/>
          <w:lang w:eastAsia="tr-TR"/>
        </w:rPr>
        <w:drawing>
          <wp:inline distT="0" distB="0" distL="0" distR="0" wp14:anchorId="6049F9EB" wp14:editId="11058743">
            <wp:extent cx="4572000" cy="2743200"/>
            <wp:effectExtent l="19050" t="0" r="19050" b="0"/>
            <wp:docPr id="9"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1404" w:rsidRPr="00B16DC2" w:rsidRDefault="00581404" w:rsidP="00581404">
      <w:pPr>
        <w:rPr>
          <w:rFonts w:ascii="Times New Roman" w:hAnsi="Times New Roman"/>
          <w:sz w:val="24"/>
          <w:szCs w:val="24"/>
        </w:rPr>
      </w:pPr>
      <w:r w:rsidRPr="00B16DC2">
        <w:rPr>
          <w:rFonts w:ascii="Times New Roman" w:hAnsi="Times New Roman"/>
          <w:sz w:val="24"/>
          <w:szCs w:val="24"/>
        </w:rPr>
        <w:t>Bilgisayarların. elektronik ve optik ürünlerin imalatı alanında sadece 3 ülkede ölümlü iş kazası gerçekleşmiştir. Bu ölümlerin 3'ü Almanya'da, 1'i isviçre'dedir. Türkiye'de ise 2 kişi bu sektörde hayatını kaybetmiştir.</w:t>
      </w:r>
    </w:p>
    <w:p w:rsidR="00581404" w:rsidRDefault="00581404" w:rsidP="00581404">
      <w:pPr>
        <w:spacing w:line="240" w:lineRule="auto"/>
        <w:ind w:firstLine="708"/>
        <w:rPr>
          <w:rFonts w:ascii="Times New Roman" w:hAnsi="Times New Roman"/>
          <w:sz w:val="24"/>
          <w:szCs w:val="24"/>
        </w:rPr>
      </w:pPr>
      <w:r>
        <w:rPr>
          <w:rFonts w:ascii="Times New Roman" w:hAnsi="Times New Roman"/>
          <w:sz w:val="24"/>
          <w:szCs w:val="24"/>
        </w:rPr>
        <w:t>4</w:t>
      </w:r>
      <w:r w:rsidRPr="00B16DC2">
        <w:rPr>
          <w:rFonts w:ascii="Times New Roman" w:hAnsi="Times New Roman"/>
          <w:sz w:val="24"/>
          <w:szCs w:val="24"/>
        </w:rPr>
        <w:t>.d. Elektrikli teçhizat imalatı</w:t>
      </w:r>
    </w:p>
    <w:p w:rsidR="00581404" w:rsidRDefault="00581404" w:rsidP="00581404">
      <w:pPr>
        <w:spacing w:line="240" w:lineRule="auto"/>
        <w:rPr>
          <w:rFonts w:ascii="Times New Roman" w:hAnsi="Times New Roman"/>
          <w:sz w:val="24"/>
          <w:szCs w:val="24"/>
        </w:rPr>
      </w:pPr>
      <w:r>
        <w:rPr>
          <w:rFonts w:ascii="Times New Roman" w:hAnsi="Times New Roman"/>
          <w:sz w:val="24"/>
          <w:szCs w:val="24"/>
        </w:rPr>
        <w:t xml:space="preserve">Grafik 8- </w:t>
      </w:r>
      <w:r w:rsidRPr="00B16DC2">
        <w:rPr>
          <w:rFonts w:ascii="Times New Roman" w:hAnsi="Times New Roman"/>
          <w:sz w:val="24"/>
          <w:szCs w:val="24"/>
        </w:rPr>
        <w:t>Elektrikli teçhizat imalatı</w:t>
      </w:r>
      <w:r>
        <w:rPr>
          <w:rFonts w:ascii="Times New Roman" w:hAnsi="Times New Roman"/>
          <w:sz w:val="24"/>
          <w:szCs w:val="24"/>
        </w:rPr>
        <w:t xml:space="preserve"> Türkiye- AB karşılaştırması </w:t>
      </w:r>
    </w:p>
    <w:p w:rsidR="00581404" w:rsidRPr="00B16DC2" w:rsidRDefault="00581404" w:rsidP="00581404">
      <w:pPr>
        <w:ind w:firstLine="708"/>
        <w:rPr>
          <w:rFonts w:ascii="Times New Roman" w:hAnsi="Times New Roman"/>
          <w:sz w:val="24"/>
          <w:szCs w:val="24"/>
        </w:rPr>
      </w:pPr>
      <w:r w:rsidRPr="00B16DC2">
        <w:rPr>
          <w:rFonts w:ascii="Times New Roman" w:hAnsi="Times New Roman"/>
          <w:noProof/>
          <w:sz w:val="24"/>
          <w:szCs w:val="24"/>
          <w:lang w:eastAsia="tr-TR"/>
        </w:rPr>
        <w:lastRenderedPageBreak/>
        <w:drawing>
          <wp:inline distT="0" distB="0" distL="0" distR="0" wp14:anchorId="1C22D57B" wp14:editId="7F6495BD">
            <wp:extent cx="4572000" cy="3038475"/>
            <wp:effectExtent l="19050" t="0" r="19050" b="0"/>
            <wp:docPr id="15"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1404" w:rsidRPr="00B16DC2" w:rsidRDefault="00581404" w:rsidP="00581404">
      <w:pPr>
        <w:rPr>
          <w:rFonts w:ascii="Times New Roman" w:hAnsi="Times New Roman"/>
          <w:sz w:val="24"/>
          <w:szCs w:val="24"/>
        </w:rPr>
      </w:pPr>
      <w:r w:rsidRPr="00B16DC2">
        <w:rPr>
          <w:rFonts w:ascii="Times New Roman" w:hAnsi="Times New Roman"/>
          <w:sz w:val="24"/>
          <w:szCs w:val="24"/>
        </w:rPr>
        <w:t xml:space="preserve">Elektrikli teçhizat imalatında Türkiye'de 7 iş cinayeti yaşanmıştır. 23 ülkede iş cinayeti yaşanmamıştır. Almanya'da 7, Fransa'da ise 4 kişi hayatını kaybetmiştir. Sıralamada Türkiye'yi geçen Portekiz'de ölüm sayısı 1'dir. </w:t>
      </w:r>
    </w:p>
    <w:p w:rsidR="00581404" w:rsidRDefault="00581404" w:rsidP="00581404">
      <w:pPr>
        <w:ind w:firstLine="708"/>
        <w:rPr>
          <w:rFonts w:ascii="Times New Roman" w:hAnsi="Times New Roman"/>
          <w:sz w:val="24"/>
          <w:szCs w:val="24"/>
        </w:rPr>
      </w:pPr>
      <w:r>
        <w:rPr>
          <w:rFonts w:ascii="Times New Roman" w:hAnsi="Times New Roman"/>
          <w:sz w:val="24"/>
          <w:szCs w:val="24"/>
        </w:rPr>
        <w:t>4</w:t>
      </w:r>
      <w:r w:rsidRPr="00B16DC2">
        <w:rPr>
          <w:rFonts w:ascii="Times New Roman" w:hAnsi="Times New Roman"/>
          <w:sz w:val="24"/>
          <w:szCs w:val="24"/>
        </w:rPr>
        <w:t>.e. Başka yerde sınıflandırılmamış makine ve ekipman imalatı</w:t>
      </w:r>
    </w:p>
    <w:p w:rsidR="00581404" w:rsidRDefault="00581404" w:rsidP="00581404">
      <w:pPr>
        <w:spacing w:line="240" w:lineRule="auto"/>
        <w:rPr>
          <w:rFonts w:ascii="Times New Roman" w:hAnsi="Times New Roman"/>
          <w:sz w:val="24"/>
          <w:szCs w:val="24"/>
        </w:rPr>
      </w:pPr>
      <w:r>
        <w:rPr>
          <w:rFonts w:ascii="Times New Roman" w:hAnsi="Times New Roman"/>
          <w:sz w:val="24"/>
          <w:szCs w:val="24"/>
        </w:rPr>
        <w:t xml:space="preserve">Grafik 9- </w:t>
      </w:r>
      <w:r w:rsidRPr="00B16DC2">
        <w:rPr>
          <w:rFonts w:ascii="Times New Roman" w:hAnsi="Times New Roman"/>
          <w:sz w:val="24"/>
          <w:szCs w:val="24"/>
        </w:rPr>
        <w:t>Başka yerde sınıflandırılmamış makine ve ekipman imalatı</w:t>
      </w:r>
      <w:r>
        <w:rPr>
          <w:rFonts w:ascii="Times New Roman" w:hAnsi="Times New Roman"/>
          <w:sz w:val="24"/>
          <w:szCs w:val="24"/>
        </w:rPr>
        <w:t xml:space="preserve"> Türkiye- AB karşılaştırması </w:t>
      </w:r>
    </w:p>
    <w:p w:rsidR="00581404" w:rsidRPr="00B16DC2" w:rsidRDefault="00581404" w:rsidP="00581404">
      <w:pPr>
        <w:rPr>
          <w:rFonts w:ascii="Times New Roman" w:hAnsi="Times New Roman"/>
          <w:sz w:val="24"/>
          <w:szCs w:val="24"/>
        </w:rPr>
      </w:pPr>
      <w:r w:rsidRPr="00B16DC2">
        <w:rPr>
          <w:rFonts w:ascii="Times New Roman" w:hAnsi="Times New Roman"/>
          <w:noProof/>
          <w:sz w:val="24"/>
          <w:szCs w:val="24"/>
          <w:lang w:eastAsia="tr-TR"/>
        </w:rPr>
        <w:drawing>
          <wp:inline distT="0" distB="0" distL="0" distR="0" wp14:anchorId="50D16D7E" wp14:editId="0D62621A">
            <wp:extent cx="4686300" cy="3114675"/>
            <wp:effectExtent l="0" t="0" r="0" b="0"/>
            <wp:docPr id="10"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1404" w:rsidRPr="00B16DC2" w:rsidRDefault="00581404" w:rsidP="00581404">
      <w:pPr>
        <w:rPr>
          <w:rFonts w:ascii="Times New Roman" w:hAnsi="Times New Roman"/>
          <w:sz w:val="24"/>
          <w:szCs w:val="24"/>
        </w:rPr>
      </w:pPr>
      <w:r w:rsidRPr="00B16DC2">
        <w:rPr>
          <w:rFonts w:ascii="Times New Roman" w:hAnsi="Times New Roman"/>
          <w:sz w:val="24"/>
          <w:szCs w:val="24"/>
        </w:rPr>
        <w:t>Başka yerde sınıflandırılmamış makine ve ekipman imalatı sektöründe 16 ülkede ölümlü iş kazası yaşanmamıştır. Türkiye'de iş cinayeti sayısı 11'dir. Türkiye'yi sıralamada geçen her ülke için bu sayı yalnızca birdir. Almaya'da iş cinayeti sayısı Türkiye ile eşittir.</w:t>
      </w:r>
    </w:p>
    <w:p w:rsidR="00581404" w:rsidRDefault="00581404" w:rsidP="00581404">
      <w:pPr>
        <w:spacing w:line="240" w:lineRule="auto"/>
        <w:ind w:firstLine="708"/>
        <w:rPr>
          <w:rFonts w:ascii="Times New Roman" w:hAnsi="Times New Roman"/>
          <w:sz w:val="24"/>
          <w:szCs w:val="24"/>
        </w:rPr>
      </w:pPr>
      <w:r>
        <w:rPr>
          <w:rFonts w:ascii="Times New Roman" w:hAnsi="Times New Roman"/>
          <w:sz w:val="24"/>
          <w:szCs w:val="24"/>
        </w:rPr>
        <w:t>4</w:t>
      </w:r>
      <w:r w:rsidRPr="00B16DC2">
        <w:rPr>
          <w:rFonts w:ascii="Times New Roman" w:hAnsi="Times New Roman"/>
          <w:sz w:val="24"/>
          <w:szCs w:val="24"/>
        </w:rPr>
        <w:t>.f. Motorlu kara taşıtı. treyler (römork) ve yarı treyler (yarı römork) imalatı</w:t>
      </w:r>
    </w:p>
    <w:p w:rsidR="00581404" w:rsidRPr="00B16DC2" w:rsidRDefault="00581404" w:rsidP="00581404">
      <w:pPr>
        <w:spacing w:line="240" w:lineRule="auto"/>
        <w:rPr>
          <w:rFonts w:ascii="Times New Roman" w:hAnsi="Times New Roman"/>
          <w:sz w:val="24"/>
          <w:szCs w:val="24"/>
        </w:rPr>
      </w:pPr>
      <w:r>
        <w:rPr>
          <w:rFonts w:ascii="Times New Roman" w:hAnsi="Times New Roman"/>
          <w:sz w:val="24"/>
          <w:szCs w:val="24"/>
        </w:rPr>
        <w:t xml:space="preserve">Grafik 10- </w:t>
      </w:r>
      <w:r w:rsidRPr="00B16DC2">
        <w:rPr>
          <w:rFonts w:ascii="Times New Roman" w:hAnsi="Times New Roman"/>
          <w:sz w:val="24"/>
          <w:szCs w:val="24"/>
        </w:rPr>
        <w:t>Motorlu kara taşıtı. treyler (römork) ve yarı treyler (yarı römork) imalatı</w:t>
      </w:r>
      <w:r>
        <w:rPr>
          <w:rFonts w:ascii="Times New Roman" w:hAnsi="Times New Roman"/>
          <w:sz w:val="24"/>
          <w:szCs w:val="24"/>
        </w:rPr>
        <w:t xml:space="preserve"> Türkiye- AB karşılaştırması </w:t>
      </w:r>
    </w:p>
    <w:p w:rsidR="00581404" w:rsidRPr="00B16DC2" w:rsidRDefault="00581404" w:rsidP="00581404">
      <w:pPr>
        <w:rPr>
          <w:rFonts w:ascii="Times New Roman" w:hAnsi="Times New Roman"/>
          <w:sz w:val="24"/>
          <w:szCs w:val="24"/>
        </w:rPr>
      </w:pPr>
      <w:r w:rsidRPr="00B16DC2">
        <w:rPr>
          <w:rFonts w:ascii="Times New Roman" w:hAnsi="Times New Roman"/>
          <w:noProof/>
          <w:sz w:val="24"/>
          <w:szCs w:val="24"/>
          <w:lang w:eastAsia="tr-TR"/>
        </w:rPr>
        <w:lastRenderedPageBreak/>
        <w:drawing>
          <wp:inline distT="0" distB="0" distL="0" distR="0" wp14:anchorId="125A456E" wp14:editId="2C265977">
            <wp:extent cx="4572000" cy="3333750"/>
            <wp:effectExtent l="19050" t="0" r="19050" b="0"/>
            <wp:docPr id="11"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1404" w:rsidRPr="00B16DC2" w:rsidRDefault="00581404" w:rsidP="00581404">
      <w:pPr>
        <w:rPr>
          <w:rFonts w:ascii="Times New Roman" w:hAnsi="Times New Roman"/>
          <w:sz w:val="24"/>
          <w:szCs w:val="24"/>
        </w:rPr>
      </w:pPr>
      <w:r w:rsidRPr="00B16DC2">
        <w:rPr>
          <w:rFonts w:ascii="Times New Roman" w:hAnsi="Times New Roman"/>
          <w:sz w:val="24"/>
          <w:szCs w:val="24"/>
        </w:rPr>
        <w:t xml:space="preserve">Motorlu kara taşıtı. treyler (römork) ve yarı treyler (yarı römork) imalatı sektöründe Türkiye'de 2013 yılında 7 iş cinayeti gerçekleşmiştir. 22 ülkede ise ölümlü iş kazası yaşanmamıştır. Türkiye'yi sıralamada geçen Finlandiya'da ise sadece 1 ölümlü iş kazası yaşanmıştır. Finlandiya'da son 6 yılda başka bir ölümlü kaza görülmemiştir. Bu dönemde ilgili sektörde Fransa'da 4, Romanya'da 3 ölümlü iş kazası yaşanmıştır. </w:t>
      </w:r>
    </w:p>
    <w:p w:rsidR="00581404" w:rsidRDefault="00581404" w:rsidP="00581404">
      <w:pPr>
        <w:ind w:firstLine="708"/>
        <w:rPr>
          <w:rFonts w:ascii="Times New Roman" w:hAnsi="Times New Roman"/>
          <w:sz w:val="24"/>
          <w:szCs w:val="24"/>
        </w:rPr>
      </w:pPr>
      <w:r>
        <w:rPr>
          <w:rFonts w:ascii="Times New Roman" w:hAnsi="Times New Roman"/>
          <w:sz w:val="24"/>
          <w:szCs w:val="24"/>
        </w:rPr>
        <w:t>4</w:t>
      </w:r>
      <w:r w:rsidRPr="00B16DC2">
        <w:rPr>
          <w:rFonts w:ascii="Times New Roman" w:hAnsi="Times New Roman"/>
          <w:sz w:val="24"/>
          <w:szCs w:val="24"/>
        </w:rPr>
        <w:t xml:space="preserve">.g. Diğer ulaşım araçlarının imalatı  </w:t>
      </w:r>
    </w:p>
    <w:p w:rsidR="00581404" w:rsidRPr="00B16DC2" w:rsidRDefault="00581404" w:rsidP="00581404">
      <w:pPr>
        <w:ind w:firstLine="708"/>
        <w:rPr>
          <w:rFonts w:ascii="Times New Roman" w:hAnsi="Times New Roman"/>
          <w:sz w:val="24"/>
          <w:szCs w:val="24"/>
        </w:rPr>
      </w:pPr>
      <w:r>
        <w:rPr>
          <w:rFonts w:ascii="Times New Roman" w:hAnsi="Times New Roman"/>
          <w:sz w:val="24"/>
          <w:szCs w:val="24"/>
        </w:rPr>
        <w:t xml:space="preserve">Grafik 11- </w:t>
      </w:r>
      <w:r w:rsidRPr="00B16DC2">
        <w:rPr>
          <w:rFonts w:ascii="Times New Roman" w:hAnsi="Times New Roman"/>
          <w:sz w:val="24"/>
          <w:szCs w:val="24"/>
        </w:rPr>
        <w:t xml:space="preserve">Diğer ulaşım araçlarının imalatı </w:t>
      </w:r>
      <w:r>
        <w:rPr>
          <w:rFonts w:ascii="Times New Roman" w:hAnsi="Times New Roman"/>
          <w:sz w:val="24"/>
          <w:szCs w:val="24"/>
        </w:rPr>
        <w:t xml:space="preserve">Türkiye- AB karşılaştırması </w:t>
      </w:r>
    </w:p>
    <w:p w:rsidR="00581404" w:rsidRPr="00B16DC2" w:rsidRDefault="00581404" w:rsidP="00581404">
      <w:pPr>
        <w:rPr>
          <w:rFonts w:ascii="Times New Roman" w:hAnsi="Times New Roman"/>
          <w:sz w:val="24"/>
          <w:szCs w:val="24"/>
        </w:rPr>
      </w:pPr>
      <w:r w:rsidRPr="00B16DC2">
        <w:rPr>
          <w:rFonts w:ascii="Times New Roman" w:hAnsi="Times New Roman"/>
          <w:noProof/>
          <w:sz w:val="24"/>
          <w:szCs w:val="24"/>
          <w:lang w:eastAsia="tr-TR"/>
        </w:rPr>
        <w:drawing>
          <wp:inline distT="0" distB="0" distL="0" distR="0" wp14:anchorId="5642EF2A" wp14:editId="60DDFC4B">
            <wp:extent cx="4419600" cy="3238500"/>
            <wp:effectExtent l="0" t="0" r="0" b="0"/>
            <wp:docPr id="1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81404" w:rsidRDefault="00581404" w:rsidP="00581404">
      <w:pPr>
        <w:rPr>
          <w:rFonts w:ascii="Times New Roman" w:hAnsi="Times New Roman"/>
          <w:sz w:val="24"/>
          <w:szCs w:val="24"/>
        </w:rPr>
      </w:pPr>
      <w:r w:rsidRPr="00B16DC2">
        <w:rPr>
          <w:rFonts w:ascii="Times New Roman" w:hAnsi="Times New Roman"/>
          <w:sz w:val="24"/>
          <w:szCs w:val="24"/>
        </w:rPr>
        <w:t xml:space="preserve">22 ülkede diğer ulaşım araçlarının imalatı sektöründe ölümlü iş kazası yaşanmamıştır. Türkiye'de sektördeki iş cinayeti sayısı 7'dir. Sıralamada Türkiye'yi geçen Litvanya'da ölüm iş kazası sayısı ise yalnızca 1'dir. Fransa'da ise 3'tür.  </w:t>
      </w:r>
    </w:p>
    <w:p w:rsidR="00581404" w:rsidRPr="000D0014" w:rsidRDefault="00581404" w:rsidP="00581404">
      <w:pPr>
        <w:rPr>
          <w:rFonts w:ascii="Times New Roman" w:hAnsi="Times New Roman"/>
          <w:b/>
          <w:sz w:val="24"/>
          <w:szCs w:val="24"/>
        </w:rPr>
      </w:pPr>
      <w:r w:rsidRPr="000D0014">
        <w:rPr>
          <w:rFonts w:ascii="Times New Roman" w:hAnsi="Times New Roman"/>
          <w:b/>
          <w:sz w:val="24"/>
          <w:szCs w:val="24"/>
        </w:rPr>
        <w:lastRenderedPageBreak/>
        <w:t>SONUÇ</w:t>
      </w:r>
    </w:p>
    <w:p w:rsidR="00581404" w:rsidRPr="00581404" w:rsidRDefault="00581404" w:rsidP="00581404">
      <w:pPr>
        <w:jc w:val="both"/>
        <w:rPr>
          <w:rFonts w:ascii="Times New Roman" w:hAnsi="Times New Roman"/>
          <w:sz w:val="24"/>
          <w:szCs w:val="24"/>
          <w:lang w:val="tr-TR"/>
        </w:rPr>
      </w:pPr>
      <w:r w:rsidRPr="00581404">
        <w:rPr>
          <w:rFonts w:ascii="Times New Roman" w:hAnsi="Times New Roman"/>
          <w:sz w:val="24"/>
          <w:szCs w:val="24"/>
        </w:rPr>
        <w:t xml:space="preserve">Türkiye’de iş cinayetleri en öncelikli konulardan biridir. </w:t>
      </w:r>
      <w:r w:rsidRPr="00581404">
        <w:rPr>
          <w:rFonts w:ascii="Times New Roman" w:hAnsi="Times New Roman"/>
          <w:sz w:val="24"/>
          <w:szCs w:val="24"/>
          <w:lang w:val="tr-TR"/>
        </w:rPr>
        <w:t xml:space="preserve">İşverenlerin doymak bilmeyen kar hırsı, artan üretim baskısı, esnekleşen ve kuralsız hale gelen çalışma koşulları işçileri öldürüyor. En çok işçi ölümleri taşeronlarda yaşanırken, uzun çalışma sürelerinin ölümleri arttırdığı, esnek çalışmanın aslında esneyen sağlık ve güvenlik tedbirleri demek olduğu biliyorken, AKP hükümeti çalışma koşullarını daha da esnekleştirmek için çabalıyor. </w:t>
      </w:r>
    </w:p>
    <w:p w:rsidR="00581404" w:rsidRPr="00581404" w:rsidRDefault="00581404" w:rsidP="00581404">
      <w:pPr>
        <w:jc w:val="both"/>
        <w:rPr>
          <w:rFonts w:ascii="Times New Roman" w:hAnsi="Times New Roman"/>
          <w:sz w:val="24"/>
          <w:szCs w:val="24"/>
          <w:lang w:val="tr-TR"/>
        </w:rPr>
      </w:pPr>
      <w:r w:rsidRPr="00581404">
        <w:rPr>
          <w:rFonts w:ascii="Times New Roman" w:hAnsi="Times New Roman"/>
          <w:sz w:val="24"/>
          <w:szCs w:val="24"/>
          <w:lang w:val="tr-TR"/>
        </w:rPr>
        <w:t>ILO verilerine göre; Dünya’da her 15 saniyede 1 işçi, iş cinayetlerinde hayatını kaybediyor. Her yıl 2 milyon fazla işçi meslek hastalığı ve iş kazaları sonucu hayatını kaybediyor.</w:t>
      </w:r>
    </w:p>
    <w:p w:rsidR="00581404" w:rsidRPr="00581404" w:rsidRDefault="00581404" w:rsidP="00581404">
      <w:pPr>
        <w:jc w:val="both"/>
        <w:rPr>
          <w:rFonts w:ascii="Times New Roman" w:hAnsi="Times New Roman"/>
          <w:sz w:val="24"/>
          <w:szCs w:val="24"/>
          <w:lang w:val="tr-TR"/>
        </w:rPr>
      </w:pPr>
      <w:r w:rsidRPr="00581404">
        <w:rPr>
          <w:rFonts w:ascii="Times New Roman" w:hAnsi="Times New Roman"/>
          <w:sz w:val="24"/>
          <w:szCs w:val="24"/>
          <w:lang w:val="tr-TR"/>
        </w:rPr>
        <w:t>Ülkemizde ise, İşçi Sağlığı ve İş Güvenliği Meclisi’nin verilerine göre; 2015 yılında 1730 işçi iş cinayetlerinde hayatını kaybetti. Yine, Meclis verilerinde göre, 2016 yılının ilk 3 ayında ölen işçi sayısı ise en az 415 ulaştı. 2002-2015 yılları arasında en az 17 bin işçi hayatını kaybetti.</w:t>
      </w:r>
    </w:p>
    <w:p w:rsidR="00581404" w:rsidRPr="00581404" w:rsidRDefault="00581404" w:rsidP="00581404">
      <w:pPr>
        <w:jc w:val="both"/>
        <w:rPr>
          <w:rFonts w:ascii="Times New Roman" w:hAnsi="Times New Roman"/>
          <w:sz w:val="24"/>
          <w:szCs w:val="24"/>
          <w:lang w:val="tr-TR"/>
        </w:rPr>
      </w:pPr>
      <w:r w:rsidRPr="00581404">
        <w:rPr>
          <w:rFonts w:ascii="Times New Roman" w:hAnsi="Times New Roman"/>
          <w:sz w:val="24"/>
          <w:szCs w:val="24"/>
          <w:lang w:val="tr-TR"/>
        </w:rPr>
        <w:t>Meslek hastalıkları konusunda ülkemiz sınıfta kalmış durumda. Avrupa ülkelerinde meslek hastalıklarına yakalanan işçi sayılarında artışlar söz konusuyken, ülkemizde 2014 yılında sadece 494 Meslek hastalığı kayıtlara geçebilmiştir. Takipsizlik ve ilgisizlik ve tespit sürecindeki zorluklar yüzünden binlerce işçi meslek hastalıklarına yakalanmasına rağmen kayıtlara geçmiyor.</w:t>
      </w:r>
    </w:p>
    <w:p w:rsidR="00581404" w:rsidRPr="00581404" w:rsidRDefault="00581404" w:rsidP="00581404">
      <w:pPr>
        <w:jc w:val="both"/>
        <w:rPr>
          <w:rFonts w:ascii="Times New Roman" w:hAnsi="Times New Roman"/>
          <w:sz w:val="24"/>
          <w:szCs w:val="24"/>
        </w:rPr>
      </w:pPr>
      <w:r w:rsidRPr="00581404">
        <w:rPr>
          <w:rFonts w:ascii="Times New Roman" w:hAnsi="Times New Roman"/>
          <w:sz w:val="24"/>
          <w:szCs w:val="24"/>
          <w:lang w:val="tr-TR"/>
        </w:rPr>
        <w:t>Son yıllarda artan kitlesel iş cinayetleri ile birlikte ülkemiz işçi mezarlığına dönüşmüş durumda. Davutpaşa, Soma, Ermenek ve Torunlar katliamları toplum vicdanında ve hafızasında kapatılmayacak yaralar açtı. İş cinayetlerinin gerçek sorumluları hak ettikleri cezaları ya almıyor yada komik cezalarla aramızda ellerini kollarını salla</w:t>
      </w:r>
      <w:r w:rsidRPr="00581404">
        <w:rPr>
          <w:rFonts w:ascii="Times New Roman" w:hAnsi="Times New Roman"/>
          <w:sz w:val="24"/>
          <w:szCs w:val="24"/>
        </w:rPr>
        <w:t>yarak dolaşmaya devam ediyorlar.</w:t>
      </w:r>
    </w:p>
    <w:p w:rsidR="00581404" w:rsidRPr="00581404" w:rsidRDefault="00581404" w:rsidP="00581404">
      <w:pPr>
        <w:jc w:val="both"/>
        <w:rPr>
          <w:rFonts w:ascii="Times New Roman" w:hAnsi="Times New Roman"/>
          <w:sz w:val="24"/>
          <w:szCs w:val="24"/>
          <w:lang w:val="tr-TR"/>
        </w:rPr>
      </w:pPr>
      <w:r w:rsidRPr="00581404">
        <w:rPr>
          <w:rFonts w:ascii="Times New Roman" w:hAnsi="Times New Roman"/>
          <w:sz w:val="24"/>
          <w:szCs w:val="24"/>
        </w:rPr>
        <w:t>Sendikamız bu alanda verilen mücadeleye sınıf mücadelesinin önemli bir bileşeni olarak görmektedir. Bu amaçla bir yandan daha uzun erimli bir mücadele programını ortaya koyarken diğer yandan işçi sağ</w:t>
      </w:r>
      <w:r w:rsidRPr="00581404">
        <w:rPr>
          <w:rFonts w:ascii="Times New Roman" w:hAnsi="Times New Roman"/>
          <w:sz w:val="24"/>
          <w:szCs w:val="24"/>
          <w:lang w:val="tr-TR"/>
        </w:rPr>
        <w:t xml:space="preserve">lığı alanındaki çalışmalarını verilen rutin eğitimlerin bir adım ötesine </w:t>
      </w:r>
      <w:r w:rsidRPr="00581404">
        <w:rPr>
          <w:rFonts w:ascii="Times New Roman" w:hAnsi="Times New Roman"/>
          <w:sz w:val="24"/>
          <w:szCs w:val="24"/>
        </w:rPr>
        <w:t>taşımaktadır</w:t>
      </w:r>
      <w:r w:rsidRPr="00581404">
        <w:rPr>
          <w:rFonts w:ascii="Times New Roman" w:hAnsi="Times New Roman"/>
          <w:sz w:val="24"/>
          <w:szCs w:val="24"/>
          <w:lang w:val="tr-TR"/>
        </w:rPr>
        <w:t xml:space="preserve">. Pek çok sendikanın, “bizim işimiz mi?” dediği noktada, sorumluluk alarak üyelerinin çalışmakta olduğu işyerlerini teknik incelemeden geçirme kararı </w:t>
      </w:r>
      <w:r w:rsidRPr="00581404">
        <w:rPr>
          <w:rFonts w:ascii="Times New Roman" w:hAnsi="Times New Roman"/>
          <w:sz w:val="24"/>
          <w:szCs w:val="24"/>
        </w:rPr>
        <w:t>almıştır</w:t>
      </w:r>
      <w:r w:rsidRPr="00581404">
        <w:rPr>
          <w:rFonts w:ascii="Times New Roman" w:hAnsi="Times New Roman"/>
          <w:sz w:val="24"/>
          <w:szCs w:val="24"/>
          <w:lang w:val="tr-TR"/>
        </w:rPr>
        <w:t>. Biz inanıyoruz ki, işçi ölümlerinin her gün arttığı ülkemizde, sağlık ve güvenlik meselesi işverenlerin ve Çalışma</w:t>
      </w:r>
      <w:r w:rsidRPr="00581404">
        <w:rPr>
          <w:rFonts w:ascii="Times New Roman" w:hAnsi="Times New Roman"/>
          <w:sz w:val="24"/>
          <w:szCs w:val="24"/>
        </w:rPr>
        <w:t xml:space="preserve"> ve Sosyal Güvenlik</w:t>
      </w:r>
      <w:r w:rsidRPr="00581404">
        <w:rPr>
          <w:rFonts w:ascii="Times New Roman" w:hAnsi="Times New Roman"/>
          <w:sz w:val="24"/>
          <w:szCs w:val="24"/>
          <w:lang w:val="tr-TR"/>
        </w:rPr>
        <w:t xml:space="preserve"> Bakanlığı’nın inisiyatifine bırakılamayacak kadar önemli bir konudur.</w:t>
      </w:r>
    </w:p>
    <w:p w:rsidR="00581404" w:rsidRPr="00581404" w:rsidRDefault="00DB602E" w:rsidP="00581404">
      <w:pPr>
        <w:jc w:val="both"/>
        <w:rPr>
          <w:rFonts w:ascii="Times New Roman" w:hAnsi="Times New Roman"/>
          <w:sz w:val="24"/>
          <w:szCs w:val="24"/>
          <w:lang w:val="tr-TR"/>
        </w:rPr>
      </w:pPr>
      <w:r>
        <w:rPr>
          <w:rFonts w:ascii="Times New Roman" w:hAnsi="Times New Roman"/>
          <w:sz w:val="24"/>
          <w:szCs w:val="24"/>
          <w:lang w:val="tr-TR"/>
        </w:rPr>
        <w:t>Bu alanda yapılması gerekenler</w:t>
      </w:r>
      <w:r w:rsidR="00581404">
        <w:rPr>
          <w:rFonts w:ascii="Times New Roman" w:hAnsi="Times New Roman"/>
          <w:sz w:val="24"/>
          <w:szCs w:val="24"/>
          <w:lang w:val="tr-TR"/>
        </w:rPr>
        <w:t>;</w:t>
      </w:r>
    </w:p>
    <w:p w:rsidR="00581404" w:rsidRPr="00DB602E" w:rsidRDefault="00581404" w:rsidP="00581404">
      <w:pPr>
        <w:pStyle w:val="ListeParagraf"/>
        <w:numPr>
          <w:ilvl w:val="0"/>
          <w:numId w:val="4"/>
        </w:numPr>
        <w:jc w:val="both"/>
        <w:rPr>
          <w:rFonts w:ascii="Times New Roman" w:hAnsi="Times New Roman"/>
          <w:bCs/>
          <w:sz w:val="24"/>
          <w:szCs w:val="24"/>
        </w:rPr>
      </w:pPr>
      <w:r w:rsidRPr="00DB602E">
        <w:rPr>
          <w:rFonts w:ascii="Times New Roman" w:hAnsi="Times New Roman"/>
          <w:bCs/>
          <w:sz w:val="24"/>
          <w:szCs w:val="24"/>
        </w:rPr>
        <w:t>Sendikal örgütlenmenin</w:t>
      </w:r>
      <w:r w:rsidRPr="00DB602E">
        <w:rPr>
          <w:rFonts w:ascii="Times New Roman" w:hAnsi="Times New Roman"/>
          <w:bCs/>
          <w:sz w:val="24"/>
          <w:szCs w:val="24"/>
        </w:rPr>
        <w:t xml:space="preserve"> ve özgürlüklerin</w:t>
      </w:r>
      <w:r w:rsidRPr="00DB602E">
        <w:rPr>
          <w:rFonts w:ascii="Times New Roman" w:hAnsi="Times New Roman"/>
          <w:bCs/>
          <w:sz w:val="24"/>
          <w:szCs w:val="24"/>
        </w:rPr>
        <w:t xml:space="preserve"> önündeki </w:t>
      </w:r>
      <w:r w:rsidRPr="00DB602E">
        <w:rPr>
          <w:rFonts w:ascii="Times New Roman" w:hAnsi="Times New Roman"/>
          <w:bCs/>
          <w:sz w:val="24"/>
          <w:szCs w:val="24"/>
        </w:rPr>
        <w:t xml:space="preserve">tüm </w:t>
      </w:r>
      <w:r w:rsidRPr="00DB602E">
        <w:rPr>
          <w:rFonts w:ascii="Times New Roman" w:hAnsi="Times New Roman"/>
          <w:bCs/>
          <w:sz w:val="24"/>
          <w:szCs w:val="24"/>
        </w:rPr>
        <w:t>engeller kaldırılmalıdır. İSG alanının işçi sınıfının temel mücadele alanlarından biri olarak ele alınmalıdır.</w:t>
      </w:r>
    </w:p>
    <w:p w:rsidR="00581404" w:rsidRPr="00DB602E" w:rsidRDefault="00581404" w:rsidP="00581404">
      <w:pPr>
        <w:pStyle w:val="ListeParagraf"/>
        <w:numPr>
          <w:ilvl w:val="0"/>
          <w:numId w:val="4"/>
        </w:numPr>
        <w:jc w:val="both"/>
        <w:rPr>
          <w:rFonts w:ascii="Times New Roman" w:hAnsi="Times New Roman"/>
          <w:bCs/>
          <w:sz w:val="24"/>
          <w:szCs w:val="24"/>
        </w:rPr>
      </w:pPr>
      <w:r w:rsidRPr="00DB602E">
        <w:rPr>
          <w:rFonts w:ascii="Times New Roman" w:hAnsi="Times New Roman"/>
          <w:bCs/>
          <w:sz w:val="24"/>
          <w:szCs w:val="24"/>
        </w:rPr>
        <w:t>Taşeron ve güvencesiz çalışma bi</w:t>
      </w:r>
      <w:r w:rsidR="00DB602E" w:rsidRPr="00DB602E">
        <w:rPr>
          <w:rFonts w:ascii="Times New Roman" w:hAnsi="Times New Roman"/>
          <w:bCs/>
          <w:sz w:val="24"/>
          <w:szCs w:val="24"/>
        </w:rPr>
        <w:t>çimlerinin ortadan kaldırılması hedefi ile</w:t>
      </w:r>
      <w:r w:rsidRPr="00DB602E">
        <w:rPr>
          <w:rFonts w:ascii="Times New Roman" w:hAnsi="Times New Roman"/>
          <w:bCs/>
          <w:sz w:val="24"/>
          <w:szCs w:val="24"/>
        </w:rPr>
        <w:t xml:space="preserve"> insan onuruna yaraşır işler için mücadelenin zemini güçlendirilmelidir. </w:t>
      </w:r>
    </w:p>
    <w:p w:rsidR="00581404" w:rsidRPr="00DB602E" w:rsidRDefault="00581404" w:rsidP="00581404">
      <w:pPr>
        <w:pStyle w:val="ListeParagraf"/>
        <w:numPr>
          <w:ilvl w:val="0"/>
          <w:numId w:val="4"/>
        </w:numPr>
        <w:jc w:val="both"/>
        <w:rPr>
          <w:rFonts w:ascii="Times New Roman" w:hAnsi="Times New Roman"/>
          <w:bCs/>
          <w:sz w:val="24"/>
          <w:szCs w:val="24"/>
        </w:rPr>
      </w:pPr>
      <w:r w:rsidRPr="00DB602E">
        <w:rPr>
          <w:rFonts w:ascii="Times New Roman" w:hAnsi="Times New Roman"/>
          <w:bCs/>
          <w:sz w:val="24"/>
          <w:szCs w:val="24"/>
        </w:rPr>
        <w:t>İşçi sağlığı ve iş güvenliği alanının piyasanın kar döngüsünün bir parçası yapılmasına karşı denetimler açısından özerk ve demokratik bir yapının sendikalar, meslek oda ve birlikleri ve üniversiteler ile oluşturulması sağlanmalıdır.</w:t>
      </w:r>
    </w:p>
    <w:p w:rsidR="00581404" w:rsidRPr="00DB602E" w:rsidRDefault="00581404" w:rsidP="00581404">
      <w:pPr>
        <w:pStyle w:val="ListeParagraf"/>
        <w:numPr>
          <w:ilvl w:val="0"/>
          <w:numId w:val="4"/>
        </w:numPr>
        <w:jc w:val="both"/>
        <w:rPr>
          <w:rFonts w:ascii="Times New Roman" w:hAnsi="Times New Roman"/>
          <w:bCs/>
          <w:sz w:val="24"/>
          <w:szCs w:val="24"/>
        </w:rPr>
      </w:pPr>
      <w:r w:rsidRPr="00DB602E">
        <w:rPr>
          <w:rFonts w:ascii="Times New Roman" w:hAnsi="Times New Roman"/>
          <w:bCs/>
          <w:sz w:val="24"/>
          <w:szCs w:val="24"/>
        </w:rPr>
        <w:t>İş kazaları ve meslek hastalıkları kayıtdışı ile mücadelenin ayrılmaz bir parçası olarak ele alınmalıdır.</w:t>
      </w:r>
    </w:p>
    <w:p w:rsidR="00DB602E" w:rsidRPr="00DB602E" w:rsidRDefault="00581404" w:rsidP="00DB602E">
      <w:pPr>
        <w:pStyle w:val="ListeParagraf"/>
        <w:numPr>
          <w:ilvl w:val="0"/>
          <w:numId w:val="4"/>
        </w:numPr>
        <w:jc w:val="both"/>
        <w:rPr>
          <w:rFonts w:ascii="Times New Roman" w:hAnsi="Times New Roman"/>
          <w:sz w:val="24"/>
          <w:szCs w:val="24"/>
        </w:rPr>
      </w:pPr>
      <w:r w:rsidRPr="00DB602E">
        <w:rPr>
          <w:rFonts w:ascii="Times New Roman" w:hAnsi="Times New Roman"/>
          <w:sz w:val="24"/>
          <w:szCs w:val="24"/>
          <w:lang w:val="tr-TR"/>
        </w:rPr>
        <w:t xml:space="preserve">Her gün artan iş cinayetlerine kurban edilen işçiler için yılda bir gün duyarlığı arttıracak iş cinayetlerine dikkat çekecek bir </w:t>
      </w:r>
      <w:r w:rsidRPr="00DB602E">
        <w:rPr>
          <w:rFonts w:ascii="Times New Roman" w:hAnsi="Times New Roman"/>
          <w:sz w:val="24"/>
          <w:szCs w:val="24"/>
        </w:rPr>
        <w:t>gün olması önemlidir</w:t>
      </w:r>
      <w:r w:rsidRPr="00DB602E">
        <w:rPr>
          <w:rFonts w:ascii="Times New Roman" w:hAnsi="Times New Roman"/>
          <w:sz w:val="24"/>
          <w:szCs w:val="24"/>
          <w:lang w:val="tr-TR"/>
        </w:rPr>
        <w:t>. ILO tarafından 2001’den bu güne “Dünya Çalışma Güvenliği ve Sağlığı Günü” olarak ilan edilen 28 Nisan hâlihazırda Dünya’nın 30’undan fazla ülkesinde “Anma ve Yas Günü” olarak kabul edilmiştir. 28 Nisan’da yapılan anmalar, ülkemizde de resmi olarak yapılmalı</w:t>
      </w:r>
      <w:r w:rsidR="00DB602E" w:rsidRPr="00DB602E">
        <w:rPr>
          <w:rFonts w:ascii="Times New Roman" w:hAnsi="Times New Roman"/>
          <w:sz w:val="24"/>
          <w:szCs w:val="24"/>
          <w:lang w:val="tr-TR"/>
        </w:rPr>
        <w:t>dır</w:t>
      </w:r>
      <w:r w:rsidRPr="00DB602E">
        <w:rPr>
          <w:rFonts w:ascii="Times New Roman" w:hAnsi="Times New Roman"/>
          <w:sz w:val="24"/>
          <w:szCs w:val="24"/>
          <w:lang w:val="tr-TR"/>
        </w:rPr>
        <w:t xml:space="preserve">. Buradan, Türkiye Büyük Millet Meclisi’ne, Çalışma ve </w:t>
      </w:r>
      <w:r w:rsidRPr="00DB602E">
        <w:rPr>
          <w:rFonts w:ascii="Times New Roman" w:hAnsi="Times New Roman"/>
          <w:sz w:val="24"/>
          <w:szCs w:val="24"/>
          <w:lang w:val="tr-TR"/>
        </w:rPr>
        <w:lastRenderedPageBreak/>
        <w:t>Sosyal Güvenlik Bakanlığı’na çağrımız, 28 Nisan İş Cinayetlerinde Kaybettiğimiz İşçileri Anma ve Yas Günü olarak ilan edil</w:t>
      </w:r>
      <w:r w:rsidR="00DB602E" w:rsidRPr="00DB602E">
        <w:rPr>
          <w:rFonts w:ascii="Times New Roman" w:hAnsi="Times New Roman"/>
          <w:sz w:val="24"/>
          <w:szCs w:val="24"/>
          <w:lang w:val="tr-TR"/>
        </w:rPr>
        <w:t>mesidir</w:t>
      </w:r>
      <w:r w:rsidRPr="00DB602E">
        <w:rPr>
          <w:rFonts w:ascii="Times New Roman" w:hAnsi="Times New Roman"/>
          <w:sz w:val="24"/>
          <w:szCs w:val="24"/>
          <w:lang w:val="tr-TR"/>
        </w:rPr>
        <w:t>.</w:t>
      </w: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DB602E" w:rsidRDefault="00DB602E" w:rsidP="00DB602E">
      <w:pPr>
        <w:jc w:val="both"/>
        <w:rPr>
          <w:rFonts w:ascii="Times New Roman" w:hAnsi="Times New Roman"/>
          <w:sz w:val="24"/>
          <w:szCs w:val="24"/>
        </w:rPr>
      </w:pPr>
    </w:p>
    <w:p w:rsidR="00581404" w:rsidRPr="00DB602E" w:rsidRDefault="00DB602E" w:rsidP="00DB602E">
      <w:pPr>
        <w:jc w:val="both"/>
        <w:rPr>
          <w:rFonts w:ascii="Times New Roman" w:hAnsi="Times New Roman"/>
          <w:sz w:val="24"/>
          <w:szCs w:val="24"/>
        </w:rPr>
      </w:pPr>
      <w:r w:rsidRPr="00DB602E">
        <w:rPr>
          <w:rFonts w:ascii="Times New Roman" w:hAnsi="Times New Roman"/>
          <w:sz w:val="24"/>
          <w:szCs w:val="24"/>
        </w:rPr>
        <w:t xml:space="preserve"> </w:t>
      </w:r>
      <w:r w:rsidR="00581404" w:rsidRPr="00DB602E">
        <w:rPr>
          <w:rFonts w:ascii="Times New Roman" w:hAnsi="Times New Roman"/>
          <w:sz w:val="24"/>
          <w:szCs w:val="24"/>
        </w:rPr>
        <w:t>KAYNAKÇA</w:t>
      </w:r>
    </w:p>
    <w:p w:rsidR="00DB602E" w:rsidRDefault="00DB602E" w:rsidP="00DB602E">
      <w:pPr>
        <w:spacing w:after="0" w:line="240" w:lineRule="auto"/>
        <w:rPr>
          <w:rFonts w:ascii="Times New Roman" w:hAnsi="Times New Roman"/>
          <w:sz w:val="24"/>
          <w:szCs w:val="24"/>
        </w:rPr>
      </w:pPr>
      <w:r>
        <w:rPr>
          <w:rFonts w:ascii="Times New Roman" w:hAnsi="Times New Roman"/>
          <w:sz w:val="24"/>
          <w:szCs w:val="24"/>
        </w:rPr>
        <w:t>TÜİK 2013</w:t>
      </w:r>
      <w:r w:rsidRPr="00DB602E">
        <w:rPr>
          <w:rFonts w:ascii="Times New Roman" w:hAnsi="Times New Roman"/>
          <w:sz w:val="24"/>
          <w:szCs w:val="24"/>
        </w:rPr>
        <w:t>, “İş Kazaları ve İşe Bağlı Sağlık Problemleri Araştırma Sonuçları”, “Hanehalkı</w:t>
      </w:r>
      <w:r>
        <w:rPr>
          <w:rFonts w:ascii="Times New Roman" w:hAnsi="Times New Roman"/>
          <w:sz w:val="24"/>
          <w:szCs w:val="24"/>
        </w:rPr>
        <w:t xml:space="preserve"> </w:t>
      </w:r>
      <w:r w:rsidRPr="00DB602E">
        <w:rPr>
          <w:rFonts w:ascii="Times New Roman" w:hAnsi="Times New Roman"/>
          <w:sz w:val="24"/>
          <w:szCs w:val="24"/>
        </w:rPr>
        <w:t>İşgücü Anketi ile Birlikte Uygulanan Modüler Anketler”,</w:t>
      </w:r>
    </w:p>
    <w:p w:rsidR="00DB602E" w:rsidRDefault="00DB602E" w:rsidP="00DB602E">
      <w:pPr>
        <w:spacing w:after="0" w:line="240" w:lineRule="auto"/>
        <w:rPr>
          <w:rFonts w:ascii="Times New Roman" w:hAnsi="Times New Roman"/>
          <w:sz w:val="24"/>
          <w:szCs w:val="24"/>
        </w:rPr>
      </w:pPr>
    </w:p>
    <w:p w:rsidR="00DB602E" w:rsidRDefault="00DB602E" w:rsidP="00DB602E">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Eurostat 2013, </w:t>
      </w:r>
      <w:r w:rsidRPr="00DB602E">
        <w:rPr>
          <w:rFonts w:ascii="Times New Roman" w:hAnsi="Times New Roman"/>
          <w:color w:val="000000"/>
          <w:sz w:val="24"/>
          <w:szCs w:val="24"/>
          <w:shd w:val="clear" w:color="auto" w:fill="FFFFFF"/>
        </w:rPr>
        <w:t>Accidents at work statistics</w:t>
      </w:r>
      <w:r>
        <w:rPr>
          <w:rFonts w:ascii="Times New Roman" w:hAnsi="Times New Roman"/>
          <w:color w:val="000000"/>
          <w:sz w:val="24"/>
          <w:szCs w:val="24"/>
          <w:shd w:val="clear" w:color="auto" w:fill="FFFFFF"/>
        </w:rPr>
        <w:t xml:space="preserve">,  </w:t>
      </w:r>
      <w:r w:rsidRPr="00DB602E">
        <w:rPr>
          <w:rFonts w:ascii="Times New Roman" w:hAnsi="Times New Roman"/>
          <w:color w:val="000000"/>
          <w:sz w:val="24"/>
          <w:szCs w:val="24"/>
          <w:shd w:val="clear" w:color="auto" w:fill="FFFFFF"/>
        </w:rPr>
        <w:t>http://ec.europa.eu/eurostat/statistics-explained/index.php/Accidents_at_work_statistics</w:t>
      </w:r>
    </w:p>
    <w:p w:rsidR="00DB602E" w:rsidRDefault="00DB602E" w:rsidP="00581404">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SGK İstatistik Yıllıkları (2012, 2013, 2014), </w:t>
      </w:r>
      <w:r w:rsidRPr="00DB602E">
        <w:rPr>
          <w:rFonts w:ascii="Times New Roman" w:hAnsi="Times New Roman"/>
          <w:color w:val="000000"/>
          <w:sz w:val="24"/>
          <w:szCs w:val="24"/>
          <w:shd w:val="clear" w:color="auto" w:fill="FFFFFF"/>
        </w:rPr>
        <w:t>http://www.sgk.gov.tr/wps/portal/tr/kurumsal/istatistikler/devredilen_kurum_istatistikleri/ssk_devredilen/</w:t>
      </w:r>
    </w:p>
    <w:p w:rsidR="00DB602E" w:rsidRDefault="00DB602E" w:rsidP="00581404">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TÜİK </w:t>
      </w:r>
      <w:r w:rsidR="000D0014">
        <w:rPr>
          <w:rFonts w:ascii="Times New Roman" w:hAnsi="Times New Roman"/>
          <w:color w:val="000000"/>
          <w:sz w:val="24"/>
          <w:szCs w:val="24"/>
          <w:shd w:val="clear" w:color="auto" w:fill="FFFFFF"/>
        </w:rPr>
        <w:t>2016, İşgücü İstatistikleri</w:t>
      </w:r>
    </w:p>
    <w:p w:rsidR="00581404" w:rsidRDefault="00581404" w:rsidP="00581404">
      <w:pPr>
        <w:rPr>
          <w:rFonts w:ascii="Times New Roman" w:hAnsi="Times New Roman"/>
          <w:color w:val="000000"/>
          <w:sz w:val="24"/>
          <w:szCs w:val="24"/>
          <w:shd w:val="clear" w:color="auto" w:fill="FFFFFF"/>
        </w:rPr>
      </w:pPr>
    </w:p>
    <w:p w:rsidR="00581404" w:rsidRPr="002636DB" w:rsidRDefault="00581404" w:rsidP="00581404">
      <w:pPr>
        <w:jc w:val="both"/>
        <w:rPr>
          <w:rFonts w:ascii="Arial" w:hAnsi="Arial" w:cs="Arial"/>
          <w:bCs/>
          <w:sz w:val="28"/>
          <w:szCs w:val="28"/>
        </w:rPr>
      </w:pPr>
      <w:r>
        <w:rPr>
          <w:rFonts w:ascii="Arial" w:hAnsi="Arial" w:cs="Arial"/>
          <w:bCs/>
          <w:sz w:val="28"/>
          <w:szCs w:val="28"/>
        </w:rPr>
        <w:t>.</w:t>
      </w:r>
    </w:p>
    <w:p w:rsidR="00581404" w:rsidRPr="002636DB" w:rsidRDefault="00581404" w:rsidP="00581404">
      <w:pPr>
        <w:jc w:val="both"/>
        <w:rPr>
          <w:rFonts w:ascii="Arial" w:hAnsi="Arial" w:cs="Arial"/>
          <w:bCs/>
          <w:sz w:val="28"/>
          <w:szCs w:val="28"/>
        </w:rPr>
      </w:pPr>
    </w:p>
    <w:p w:rsidR="00581404" w:rsidRDefault="00581404" w:rsidP="00581404">
      <w:pPr>
        <w:rPr>
          <w:rFonts w:ascii="Times New Roman" w:hAnsi="Times New Roman"/>
          <w:color w:val="000000"/>
          <w:sz w:val="24"/>
          <w:szCs w:val="24"/>
          <w:shd w:val="clear" w:color="auto" w:fill="FFFFFF"/>
        </w:rPr>
      </w:pPr>
    </w:p>
    <w:p w:rsidR="00581404" w:rsidRPr="00B16DC2" w:rsidRDefault="00581404" w:rsidP="00581404">
      <w:pPr>
        <w:rPr>
          <w:rFonts w:ascii="Times New Roman" w:hAnsi="Times New Roman"/>
          <w:sz w:val="24"/>
          <w:szCs w:val="24"/>
        </w:rPr>
      </w:pPr>
    </w:p>
    <w:p w:rsidR="00581404" w:rsidRPr="008918ED" w:rsidRDefault="00581404" w:rsidP="008B0DA1">
      <w:pPr>
        <w:spacing w:before="120" w:after="120" w:line="240" w:lineRule="auto"/>
        <w:ind w:firstLine="567"/>
        <w:jc w:val="right"/>
        <w:rPr>
          <w:lang w:val="tr-TR"/>
        </w:rPr>
      </w:pPr>
    </w:p>
    <w:sectPr w:rsidR="00581404" w:rsidRPr="008918ED" w:rsidSect="00D55C7D">
      <w:footerReference w:type="default" r:id="rId20"/>
      <w:pgSz w:w="11906" w:h="16838"/>
      <w:pgMar w:top="709" w:right="70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96D" w:rsidRDefault="009D196D" w:rsidP="00581404">
      <w:pPr>
        <w:spacing w:after="0" w:line="240" w:lineRule="auto"/>
      </w:pPr>
      <w:r>
        <w:separator/>
      </w:r>
    </w:p>
  </w:endnote>
  <w:endnote w:type="continuationSeparator" w:id="0">
    <w:p w:rsidR="009D196D" w:rsidRDefault="009D196D" w:rsidP="0058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875017"/>
      <w:docPartObj>
        <w:docPartGallery w:val="Page Numbers (Bottom of Page)"/>
        <w:docPartUnique/>
      </w:docPartObj>
    </w:sdtPr>
    <w:sdtContent>
      <w:p w:rsidR="000D0014" w:rsidRDefault="000D0014">
        <w:pPr>
          <w:pStyle w:val="Altbilgi"/>
          <w:jc w:val="center"/>
        </w:pPr>
        <w:r>
          <w:fldChar w:fldCharType="begin"/>
        </w:r>
        <w:r>
          <w:instrText>PAGE   \* MERGEFORMAT</w:instrText>
        </w:r>
        <w:r>
          <w:fldChar w:fldCharType="separate"/>
        </w:r>
        <w:r w:rsidR="002F461C" w:rsidRPr="002F461C">
          <w:rPr>
            <w:noProof/>
            <w:lang w:val="tr-TR"/>
          </w:rPr>
          <w:t>2</w:t>
        </w:r>
        <w:r>
          <w:fldChar w:fldCharType="end"/>
        </w:r>
      </w:p>
    </w:sdtContent>
  </w:sdt>
  <w:p w:rsidR="000D0014" w:rsidRDefault="000D00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96D" w:rsidRDefault="009D196D" w:rsidP="00581404">
      <w:pPr>
        <w:spacing w:after="0" w:line="240" w:lineRule="auto"/>
      </w:pPr>
      <w:r>
        <w:separator/>
      </w:r>
    </w:p>
  </w:footnote>
  <w:footnote w:type="continuationSeparator" w:id="0">
    <w:p w:rsidR="009D196D" w:rsidRDefault="009D196D" w:rsidP="00581404">
      <w:pPr>
        <w:spacing w:after="0" w:line="240" w:lineRule="auto"/>
      </w:pPr>
      <w:r>
        <w:continuationSeparator/>
      </w:r>
    </w:p>
  </w:footnote>
  <w:footnote w:id="1">
    <w:p w:rsidR="00581404" w:rsidRDefault="00581404" w:rsidP="00581404">
      <w:pPr>
        <w:pStyle w:val="DipnotMetni"/>
      </w:pPr>
      <w:r>
        <w:rPr>
          <w:rStyle w:val="DipnotBavurusu"/>
        </w:rPr>
        <w:footnoteRef/>
      </w:r>
      <w:r w:rsidRPr="00287455">
        <w:rPr>
          <w:rFonts w:ascii="Times New Roman" w:hAnsi="Times New Roman" w:cs="Times New Roman"/>
          <w:sz w:val="24"/>
          <w:szCs w:val="24"/>
        </w:rPr>
        <w:t>"2012 ve öncesi yıllarda iş kazası geçiren sigortalı sayılarına ait istatistikler verilirken ödemesi yapılıp kapatılan iş kazası vaka sayıları esas alınmaktaydı. 2013 yılından itibaren iş kazası bildirim formunun elektronik ortamda alınmaya başlanması ile iş kazası geçiren tüm sigortalı sayılarına ait veriler Avrupa Birliği standartları da (ESAW) dikkate alınarak verilmeye başlanılmıştır. ESAW metodolojisine göre iş kazası sonrası işe başlama kazadan sonraki 5. günde meydana gelmiş ise bu iş kazası istatistiklere yansıtılmaktadır" şeklinde açıklanmaktadır</w:t>
      </w:r>
      <w:r>
        <w:rPr>
          <w:rStyle w:val="DipnotBavurusu"/>
          <w:rFonts w:ascii="Times New Roman" w:hAnsi="Times New Roman" w:cs="Times New Roman"/>
          <w:sz w:val="24"/>
          <w:szCs w:val="24"/>
        </w:rPr>
        <w:footnoteRef/>
      </w:r>
      <w:r w:rsidRPr="00287455">
        <w:rPr>
          <w:rFonts w:ascii="Times New Roman" w:hAnsi="Times New Roman" w:cs="Times New Roman"/>
          <w:sz w:val="24"/>
          <w:szCs w:val="24"/>
        </w:rPr>
        <w:t>(Açıklama (SGK 2013 yılı İş Kazası ve Meslek Hastalıkları İstatistikleri)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48A5"/>
    <w:multiLevelType w:val="hybridMultilevel"/>
    <w:tmpl w:val="D71CE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A779AF"/>
    <w:multiLevelType w:val="hybridMultilevel"/>
    <w:tmpl w:val="1B76FE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3DFA58EC"/>
    <w:multiLevelType w:val="hybridMultilevel"/>
    <w:tmpl w:val="46688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141437"/>
    <w:multiLevelType w:val="hybridMultilevel"/>
    <w:tmpl w:val="4E84B3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6A0922CA"/>
    <w:multiLevelType w:val="hybridMultilevel"/>
    <w:tmpl w:val="AD9EF48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DE"/>
    <w:rsid w:val="00006F68"/>
    <w:rsid w:val="00021134"/>
    <w:rsid w:val="00021A94"/>
    <w:rsid w:val="0005581B"/>
    <w:rsid w:val="00062392"/>
    <w:rsid w:val="000D0014"/>
    <w:rsid w:val="000E6D3B"/>
    <w:rsid w:val="001125F1"/>
    <w:rsid w:val="0016514F"/>
    <w:rsid w:val="0018582D"/>
    <w:rsid w:val="001E44F9"/>
    <w:rsid w:val="00221A92"/>
    <w:rsid w:val="00241F53"/>
    <w:rsid w:val="002503DE"/>
    <w:rsid w:val="00252A6A"/>
    <w:rsid w:val="002615B9"/>
    <w:rsid w:val="002D1218"/>
    <w:rsid w:val="002F461C"/>
    <w:rsid w:val="00382492"/>
    <w:rsid w:val="00390317"/>
    <w:rsid w:val="003C28A9"/>
    <w:rsid w:val="00403BF0"/>
    <w:rsid w:val="004D180E"/>
    <w:rsid w:val="004D375A"/>
    <w:rsid w:val="004E04A3"/>
    <w:rsid w:val="004E7BE0"/>
    <w:rsid w:val="00503270"/>
    <w:rsid w:val="005611D7"/>
    <w:rsid w:val="00581404"/>
    <w:rsid w:val="006926B7"/>
    <w:rsid w:val="00694DDB"/>
    <w:rsid w:val="006B359D"/>
    <w:rsid w:val="006C2E74"/>
    <w:rsid w:val="00740120"/>
    <w:rsid w:val="007819F3"/>
    <w:rsid w:val="007C7FE2"/>
    <w:rsid w:val="008331A6"/>
    <w:rsid w:val="00834EAF"/>
    <w:rsid w:val="0088474B"/>
    <w:rsid w:val="008918ED"/>
    <w:rsid w:val="00893FF0"/>
    <w:rsid w:val="00897B20"/>
    <w:rsid w:val="008A508F"/>
    <w:rsid w:val="008B0DA1"/>
    <w:rsid w:val="00900C65"/>
    <w:rsid w:val="0091585E"/>
    <w:rsid w:val="009D196D"/>
    <w:rsid w:val="009E1A64"/>
    <w:rsid w:val="009F1DF3"/>
    <w:rsid w:val="00A50312"/>
    <w:rsid w:val="00A5368A"/>
    <w:rsid w:val="00A67A44"/>
    <w:rsid w:val="00A962AE"/>
    <w:rsid w:val="00B264A5"/>
    <w:rsid w:val="00B549BC"/>
    <w:rsid w:val="00B836EB"/>
    <w:rsid w:val="00C22B7B"/>
    <w:rsid w:val="00C4269E"/>
    <w:rsid w:val="00C7583E"/>
    <w:rsid w:val="00C9046D"/>
    <w:rsid w:val="00CA00F8"/>
    <w:rsid w:val="00CF6EBB"/>
    <w:rsid w:val="00D21D52"/>
    <w:rsid w:val="00D30350"/>
    <w:rsid w:val="00D55C7D"/>
    <w:rsid w:val="00D66A38"/>
    <w:rsid w:val="00D90C98"/>
    <w:rsid w:val="00DB602E"/>
    <w:rsid w:val="00EB67A6"/>
    <w:rsid w:val="00F0693D"/>
    <w:rsid w:val="00F1256E"/>
    <w:rsid w:val="00FA1CEB"/>
    <w:rsid w:val="00FA2DC3"/>
    <w:rsid w:val="00FC5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EFB51-B3C6-4289-AF9D-DA92CDF1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DE"/>
    <w:rPr>
      <w:rFonts w:ascii="Cambria" w:eastAsia="Calibri" w:hAnsi="Cambria" w:cs="Times New Roman"/>
      <w:lang w:val="en-US" w:bidi="en-US"/>
    </w:rPr>
  </w:style>
  <w:style w:type="paragraph" w:styleId="Balk1">
    <w:name w:val="heading 1"/>
    <w:basedOn w:val="Normal"/>
    <w:next w:val="Normal"/>
    <w:link w:val="Balk1Char"/>
    <w:uiPriority w:val="9"/>
    <w:qFormat/>
    <w:rsid w:val="00DB60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5">
    <w:name w:val="heading 5"/>
    <w:basedOn w:val="Normal"/>
    <w:next w:val="Normal"/>
    <w:link w:val="Balk5Char"/>
    <w:uiPriority w:val="9"/>
    <w:qFormat/>
    <w:rsid w:val="002503DE"/>
    <w:pPr>
      <w:spacing w:after="0" w:line="271" w:lineRule="auto"/>
      <w:outlineLvl w:val="4"/>
    </w:pPr>
    <w:rPr>
      <w:i/>
      <w:iCs/>
      <w:sz w:val="24"/>
      <w:szCs w:val="24"/>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503DE"/>
    <w:rPr>
      <w:rFonts w:ascii="Cambria" w:eastAsia="Calibri" w:hAnsi="Cambria" w:cs="Times New Roman"/>
      <w:i/>
      <w:iCs/>
      <w:sz w:val="24"/>
      <w:szCs w:val="24"/>
      <w:lang w:eastAsia="tr-TR"/>
    </w:rPr>
  </w:style>
  <w:style w:type="paragraph" w:styleId="BalonMetni">
    <w:name w:val="Balloon Text"/>
    <w:basedOn w:val="Normal"/>
    <w:link w:val="BalonMetniChar"/>
    <w:uiPriority w:val="99"/>
    <w:semiHidden/>
    <w:unhideWhenUsed/>
    <w:rsid w:val="002503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03DE"/>
    <w:rPr>
      <w:rFonts w:ascii="Tahoma" w:eastAsia="Calibri" w:hAnsi="Tahoma" w:cs="Tahoma"/>
      <w:sz w:val="16"/>
      <w:szCs w:val="16"/>
      <w:lang w:val="en-US" w:bidi="en-US"/>
    </w:rPr>
  </w:style>
  <w:style w:type="paragraph" w:styleId="ListeParagraf">
    <w:name w:val="List Paragraph"/>
    <w:basedOn w:val="Normal"/>
    <w:uiPriority w:val="34"/>
    <w:qFormat/>
    <w:rsid w:val="00A67A44"/>
    <w:pPr>
      <w:ind w:left="720"/>
      <w:contextualSpacing/>
    </w:pPr>
  </w:style>
  <w:style w:type="paragraph" w:styleId="DipnotMetni">
    <w:name w:val="footnote text"/>
    <w:basedOn w:val="Normal"/>
    <w:link w:val="DipnotMetniChar"/>
    <w:uiPriority w:val="99"/>
    <w:semiHidden/>
    <w:unhideWhenUsed/>
    <w:rsid w:val="00581404"/>
    <w:pPr>
      <w:spacing w:after="0" w:line="240" w:lineRule="auto"/>
    </w:pPr>
    <w:rPr>
      <w:rFonts w:asciiTheme="minorHAnsi" w:eastAsiaTheme="minorHAnsi" w:hAnsiTheme="minorHAnsi" w:cstheme="minorBidi"/>
      <w:sz w:val="20"/>
      <w:szCs w:val="20"/>
      <w:lang w:val="tr-TR" w:bidi="ar-SA"/>
    </w:rPr>
  </w:style>
  <w:style w:type="character" w:customStyle="1" w:styleId="DipnotMetniChar">
    <w:name w:val="Dipnot Metni Char"/>
    <w:basedOn w:val="VarsaylanParagrafYazTipi"/>
    <w:link w:val="DipnotMetni"/>
    <w:uiPriority w:val="99"/>
    <w:semiHidden/>
    <w:rsid w:val="00581404"/>
    <w:rPr>
      <w:sz w:val="20"/>
      <w:szCs w:val="20"/>
    </w:rPr>
  </w:style>
  <w:style w:type="character" w:styleId="DipnotBavurusu">
    <w:name w:val="footnote reference"/>
    <w:basedOn w:val="VarsaylanParagrafYazTipi"/>
    <w:uiPriority w:val="99"/>
    <w:semiHidden/>
    <w:unhideWhenUsed/>
    <w:rsid w:val="00581404"/>
    <w:rPr>
      <w:vertAlign w:val="superscript"/>
    </w:rPr>
  </w:style>
  <w:style w:type="character" w:customStyle="1" w:styleId="Balk1Char">
    <w:name w:val="Başlık 1 Char"/>
    <w:basedOn w:val="VarsaylanParagrafYazTipi"/>
    <w:link w:val="Balk1"/>
    <w:uiPriority w:val="9"/>
    <w:rsid w:val="00DB602E"/>
    <w:rPr>
      <w:rFonts w:asciiTheme="majorHAnsi" w:eastAsiaTheme="majorEastAsia" w:hAnsiTheme="majorHAnsi" w:cstheme="majorBidi"/>
      <w:color w:val="365F91" w:themeColor="accent1" w:themeShade="BF"/>
      <w:sz w:val="32"/>
      <w:szCs w:val="32"/>
      <w:lang w:val="en-US" w:bidi="en-US"/>
    </w:rPr>
  </w:style>
  <w:style w:type="paragraph" w:styleId="stbilgi">
    <w:name w:val="header"/>
    <w:basedOn w:val="Normal"/>
    <w:link w:val="stbilgiChar"/>
    <w:uiPriority w:val="99"/>
    <w:unhideWhenUsed/>
    <w:rsid w:val="000D00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0014"/>
    <w:rPr>
      <w:rFonts w:ascii="Cambria" w:eastAsia="Calibri" w:hAnsi="Cambria" w:cs="Times New Roman"/>
      <w:lang w:val="en-US" w:bidi="en-US"/>
    </w:rPr>
  </w:style>
  <w:style w:type="paragraph" w:styleId="Altbilgi">
    <w:name w:val="footer"/>
    <w:basedOn w:val="Normal"/>
    <w:link w:val="AltbilgiChar"/>
    <w:uiPriority w:val="99"/>
    <w:unhideWhenUsed/>
    <w:rsid w:val="000D00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0014"/>
    <w:rPr>
      <w:rFonts w:ascii="Cambria" w:eastAsia="Calibri"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2826">
      <w:bodyDiv w:val="1"/>
      <w:marLeft w:val="0"/>
      <w:marRight w:val="0"/>
      <w:marTop w:val="0"/>
      <w:marBottom w:val="0"/>
      <w:divBdr>
        <w:top w:val="none" w:sz="0" w:space="0" w:color="auto"/>
        <w:left w:val="none" w:sz="0" w:space="0" w:color="auto"/>
        <w:bottom w:val="none" w:sz="0" w:space="0" w:color="auto"/>
        <w:right w:val="none" w:sz="0" w:space="0" w:color="auto"/>
      </w:divBdr>
    </w:div>
    <w:div w:id="1689453684">
      <w:bodyDiv w:val="1"/>
      <w:marLeft w:val="0"/>
      <w:marRight w:val="0"/>
      <w:marTop w:val="0"/>
      <w:marBottom w:val="0"/>
      <w:divBdr>
        <w:top w:val="none" w:sz="0" w:space="0" w:color="auto"/>
        <w:left w:val="none" w:sz="0" w:space="0" w:color="auto"/>
        <w:bottom w:val="none" w:sz="0" w:space="0" w:color="auto"/>
        <w:right w:val="none" w:sz="0" w:space="0" w:color="auto"/>
      </w:divBdr>
    </w:div>
    <w:div w:id="20630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evfik%20G&#252;ne&#351;\Documents\3715085939767733574..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temeldosya\temel_serkan_&#231;al&#305;&#351;malar_2010\&#231;al&#305;&#351;malar\disk_&#231;al&#305;&#351;malar\i&#351;_sa&#287;l&#305;&#287;&#305;_guvenligi\bmis\metal_eurostat.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temeldosya\temel_serkan_&#231;al&#305;&#351;malar_2010\&#231;al&#305;&#351;malar\disk_&#231;al&#305;&#351;malar\i&#351;_sa&#287;l&#305;&#287;&#305;_guvenligi\bmis\metal_eurosta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evfik%20G&#252;ne&#351;\Documents\3715085939767733574..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pc\Downloads\hsw_mi01%20(1).xls"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oleObject" Target="file:///E:\temeldosya\temel_serkan_&#231;al&#305;&#351;malar_2010\&#231;al&#305;&#351;malar\disk_&#231;al&#305;&#351;malar\i&#351;_sa&#287;l&#305;&#287;&#305;_guvenligi\bmis\metal_eurostat.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temeldosya\temel_serkan_&#231;al&#305;&#351;malar_2010\&#231;al&#305;&#351;malar\disk_&#231;al&#305;&#351;malar\i&#351;_sa&#287;l&#305;&#287;&#305;_guvenligi\bmis\metal_eurostat.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temeldosya\temel_serkan_&#231;al&#305;&#351;malar_2010\&#231;al&#305;&#351;malar\disk_&#231;al&#305;&#351;malar\i&#351;_sa&#287;l&#305;&#287;&#305;_guvenligi\bmis\metal_eurostat.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temeldosya\temel_serkan_&#231;al&#305;&#351;malar_2010\&#231;al&#305;&#351;malar\disk_&#231;al&#305;&#351;malar\i&#351;_sa&#287;l&#305;&#287;&#305;_guvenligi\bmis\metal_eurostat.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temeldosya\temel_serkan_&#231;al&#305;&#351;malar_2010\&#231;al&#305;&#351;malar\disk_&#231;al&#305;&#351;malar\i&#351;_sa&#287;l&#305;&#287;&#305;_guvenligi\bmis\metal_eurostat.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temeldosya\temel_serkan_&#231;al&#305;&#351;malar_2010\&#231;al&#305;&#351;malar\disk_&#231;al&#305;&#351;malar\i&#351;_sa&#287;l&#305;&#287;&#305;_guvenligi\bmis\metal_eurosta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Sayfa1!$F$12:$F$17</c:f>
              <c:strCache>
                <c:ptCount val="6"/>
                <c:pt idx="0">
                  <c:v>250 ila 499 arası</c:v>
                </c:pt>
                <c:pt idx="1">
                  <c:v>500 ve üzeri</c:v>
                </c:pt>
                <c:pt idx="2">
                  <c:v>10 ila 24 arası</c:v>
                </c:pt>
                <c:pt idx="3">
                  <c:v>25 ila 49 arası</c:v>
                </c:pt>
                <c:pt idx="4">
                  <c:v>50 ila 249 arası</c:v>
                </c:pt>
                <c:pt idx="5">
                  <c:v>1 ila 9 arası</c:v>
                </c:pt>
              </c:strCache>
            </c:strRef>
          </c:cat>
          <c:val>
            <c:numRef>
              <c:f>Sayfa1!$G$12:$G$17</c:f>
              <c:numCache>
                <c:formatCode>0.0%</c:formatCode>
                <c:ptCount val="6"/>
                <c:pt idx="0">
                  <c:v>5.5172413793103461E-2</c:v>
                </c:pt>
                <c:pt idx="1">
                  <c:v>5.9310344827586237E-2</c:v>
                </c:pt>
                <c:pt idx="2">
                  <c:v>8.0000000000000016E-2</c:v>
                </c:pt>
                <c:pt idx="3">
                  <c:v>9.7931034482758611E-2</c:v>
                </c:pt>
                <c:pt idx="4">
                  <c:v>0.13241379310344831</c:v>
                </c:pt>
                <c:pt idx="5">
                  <c:v>0.51586206896551712</c:v>
                </c:pt>
              </c:numCache>
            </c:numRef>
          </c:val>
        </c:ser>
        <c:dLbls>
          <c:showLegendKey val="0"/>
          <c:showVal val="0"/>
          <c:showCatName val="0"/>
          <c:showSerName val="0"/>
          <c:showPercent val="0"/>
          <c:showBubbleSize val="0"/>
        </c:dLbls>
        <c:gapWidth val="150"/>
        <c:shape val="box"/>
        <c:axId val="371540352"/>
        <c:axId val="371536824"/>
        <c:axId val="0"/>
      </c:bar3DChart>
      <c:catAx>
        <c:axId val="371540352"/>
        <c:scaling>
          <c:orientation val="minMax"/>
        </c:scaling>
        <c:delete val="0"/>
        <c:axPos val="l"/>
        <c:numFmt formatCode="General" sourceLinked="0"/>
        <c:majorTickMark val="out"/>
        <c:minorTickMark val="none"/>
        <c:tickLblPos val="nextTo"/>
        <c:crossAx val="371536824"/>
        <c:crosses val="autoZero"/>
        <c:auto val="1"/>
        <c:lblAlgn val="ctr"/>
        <c:lblOffset val="100"/>
        <c:noMultiLvlLbl val="0"/>
      </c:catAx>
      <c:valAx>
        <c:axId val="371536824"/>
        <c:scaling>
          <c:orientation val="minMax"/>
        </c:scaling>
        <c:delete val="0"/>
        <c:axPos val="b"/>
        <c:majorGridlines/>
        <c:numFmt formatCode="0%" sourceLinked="0"/>
        <c:majorTickMark val="out"/>
        <c:minorTickMark val="none"/>
        <c:tickLblPos val="nextTo"/>
        <c:crossAx val="37154035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sz="8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Data!$J$615:$J$647</c:f>
              <c:strCache>
                <c:ptCount val="33"/>
                <c:pt idx="0">
                  <c:v>Belçika</c:v>
                </c:pt>
                <c:pt idx="1">
                  <c:v>Bulgaristan</c:v>
                </c:pt>
                <c:pt idx="2">
                  <c:v>Çek Cum.</c:v>
                </c:pt>
                <c:pt idx="3">
                  <c:v>Danimarka</c:v>
                </c:pt>
                <c:pt idx="4">
                  <c:v>Estonya</c:v>
                </c:pt>
                <c:pt idx="5">
                  <c:v>İrlanda</c:v>
                </c:pt>
                <c:pt idx="6">
                  <c:v>Yunanistan</c:v>
                </c:pt>
                <c:pt idx="7">
                  <c:v>Hırvatsitan</c:v>
                </c:pt>
                <c:pt idx="8">
                  <c:v>Kıbrıs</c:v>
                </c:pt>
                <c:pt idx="9">
                  <c:v>Litvanya</c:v>
                </c:pt>
                <c:pt idx="10">
                  <c:v>Letonya</c:v>
                </c:pt>
                <c:pt idx="11">
                  <c:v>Lüksemburg</c:v>
                </c:pt>
                <c:pt idx="12">
                  <c:v>Macaristan</c:v>
                </c:pt>
                <c:pt idx="13">
                  <c:v>Malta</c:v>
                </c:pt>
                <c:pt idx="14">
                  <c:v>Avusturya</c:v>
                </c:pt>
                <c:pt idx="15">
                  <c:v>Polonya</c:v>
                </c:pt>
                <c:pt idx="16">
                  <c:v>Portekiz</c:v>
                </c:pt>
                <c:pt idx="17">
                  <c:v>Slovenya</c:v>
                </c:pt>
                <c:pt idx="18">
                  <c:v>İngiltere</c:v>
                </c:pt>
                <c:pt idx="19">
                  <c:v>İzlanda</c:v>
                </c:pt>
                <c:pt idx="20">
                  <c:v>Norveç</c:v>
                </c:pt>
                <c:pt idx="21">
                  <c:v>İsviçre</c:v>
                </c:pt>
                <c:pt idx="22">
                  <c:v>Almanya</c:v>
                </c:pt>
                <c:pt idx="23">
                  <c:v>İtalya</c:v>
                </c:pt>
                <c:pt idx="24">
                  <c:v>AB-27</c:v>
                </c:pt>
                <c:pt idx="25">
                  <c:v>İspanya</c:v>
                </c:pt>
                <c:pt idx="26">
                  <c:v>Hollanda</c:v>
                </c:pt>
                <c:pt idx="27">
                  <c:v>Slovakya</c:v>
                </c:pt>
                <c:pt idx="28">
                  <c:v>Fransa</c:v>
                </c:pt>
                <c:pt idx="29">
                  <c:v>Romanya</c:v>
                </c:pt>
                <c:pt idx="30">
                  <c:v>İsveç</c:v>
                </c:pt>
                <c:pt idx="31">
                  <c:v>Türkiye</c:v>
                </c:pt>
                <c:pt idx="32">
                  <c:v>Finlandiya</c:v>
                </c:pt>
              </c:strCache>
            </c:strRef>
          </c:cat>
          <c:val>
            <c:numRef>
              <c:f>Data!$K$615:$K$647</c:f>
              <c:numCache>
                <c:formatCode>#,##0</c:formatCode>
                <c:ptCount val="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formatCode="General">
                  <c:v>0</c:v>
                </c:pt>
                <c:pt idx="20">
                  <c:v>0</c:v>
                </c:pt>
                <c:pt idx="21">
                  <c:v>0</c:v>
                </c:pt>
                <c:pt idx="22" formatCode="#,##0.0">
                  <c:v>0.1</c:v>
                </c:pt>
                <c:pt idx="23" formatCode="#,##0.00">
                  <c:v>0.48</c:v>
                </c:pt>
                <c:pt idx="24" formatCode="#,##0.00">
                  <c:v>0.52</c:v>
                </c:pt>
                <c:pt idx="25" formatCode="#,##0.00">
                  <c:v>0.72</c:v>
                </c:pt>
                <c:pt idx="26" formatCode="#,##0.00">
                  <c:v>0.88</c:v>
                </c:pt>
                <c:pt idx="27" formatCode="#,##0.00">
                  <c:v>1.1200000000000001</c:v>
                </c:pt>
                <c:pt idx="28" formatCode="#,##0.00">
                  <c:v>1.84</c:v>
                </c:pt>
                <c:pt idx="29" formatCode="#,##0.00">
                  <c:v>1.97</c:v>
                </c:pt>
                <c:pt idx="30" formatCode="#,##0.00">
                  <c:v>3.58</c:v>
                </c:pt>
                <c:pt idx="31">
                  <c:v>4.9800000000000004</c:v>
                </c:pt>
                <c:pt idx="32" formatCode="#,##0.00">
                  <c:v>11.29</c:v>
                </c:pt>
              </c:numCache>
            </c:numRef>
          </c:val>
        </c:ser>
        <c:dLbls>
          <c:showLegendKey val="0"/>
          <c:showVal val="0"/>
          <c:showCatName val="0"/>
          <c:showSerName val="0"/>
          <c:showPercent val="0"/>
          <c:showBubbleSize val="0"/>
        </c:dLbls>
        <c:gapWidth val="150"/>
        <c:shape val="box"/>
        <c:axId val="371548584"/>
        <c:axId val="371548976"/>
        <c:axId val="0"/>
      </c:bar3DChart>
      <c:catAx>
        <c:axId val="371548584"/>
        <c:scaling>
          <c:orientation val="minMax"/>
        </c:scaling>
        <c:delete val="0"/>
        <c:axPos val="l"/>
        <c:numFmt formatCode="General" sourceLinked="0"/>
        <c:majorTickMark val="out"/>
        <c:minorTickMark val="none"/>
        <c:tickLblPos val="nextTo"/>
        <c:txPr>
          <a:bodyPr/>
          <a:lstStyle/>
          <a:p>
            <a:pPr>
              <a:defRPr sz="800"/>
            </a:pPr>
            <a:endParaRPr lang="tr-TR"/>
          </a:p>
        </c:txPr>
        <c:crossAx val="371548976"/>
        <c:crosses val="autoZero"/>
        <c:auto val="1"/>
        <c:lblAlgn val="ctr"/>
        <c:lblOffset val="100"/>
        <c:tickLblSkip val="1"/>
        <c:noMultiLvlLbl val="0"/>
      </c:catAx>
      <c:valAx>
        <c:axId val="371548976"/>
        <c:scaling>
          <c:orientation val="minMax"/>
        </c:scaling>
        <c:delete val="0"/>
        <c:axPos val="b"/>
        <c:majorGridlines/>
        <c:numFmt formatCode="#,##0" sourceLinked="1"/>
        <c:majorTickMark val="out"/>
        <c:minorTickMark val="none"/>
        <c:tickLblPos val="nextTo"/>
        <c:crossAx val="37154858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sz="8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Data!$J$658:$J$690</c:f>
              <c:strCache>
                <c:ptCount val="33"/>
                <c:pt idx="0">
                  <c:v>Belçika</c:v>
                </c:pt>
                <c:pt idx="1">
                  <c:v>Bulgaristan</c:v>
                </c:pt>
                <c:pt idx="2">
                  <c:v>Danimarka</c:v>
                </c:pt>
                <c:pt idx="3">
                  <c:v>Almanya</c:v>
                </c:pt>
                <c:pt idx="4">
                  <c:v>Estonya</c:v>
                </c:pt>
                <c:pt idx="5">
                  <c:v>İrlanda</c:v>
                </c:pt>
                <c:pt idx="6">
                  <c:v>Yunanistan</c:v>
                </c:pt>
                <c:pt idx="7">
                  <c:v>İspanya</c:v>
                </c:pt>
                <c:pt idx="8">
                  <c:v>Kıbrıs</c:v>
                </c:pt>
                <c:pt idx="9">
                  <c:v>Letonya</c:v>
                </c:pt>
                <c:pt idx="10">
                  <c:v>Lüksemburg</c:v>
                </c:pt>
                <c:pt idx="11">
                  <c:v>Macaristan</c:v>
                </c:pt>
                <c:pt idx="12">
                  <c:v>Malta</c:v>
                </c:pt>
                <c:pt idx="13">
                  <c:v>Hollanda</c:v>
                </c:pt>
                <c:pt idx="14">
                  <c:v>Avusturya</c:v>
                </c:pt>
                <c:pt idx="15">
                  <c:v>Polonya</c:v>
                </c:pt>
                <c:pt idx="16">
                  <c:v>Portekiz</c:v>
                </c:pt>
                <c:pt idx="17">
                  <c:v>Slovenya</c:v>
                </c:pt>
                <c:pt idx="18">
                  <c:v>Slovakya</c:v>
                </c:pt>
                <c:pt idx="19">
                  <c:v>Finlandiya</c:v>
                </c:pt>
                <c:pt idx="20">
                  <c:v>İzlanda</c:v>
                </c:pt>
                <c:pt idx="21">
                  <c:v>İsviçre</c:v>
                </c:pt>
                <c:pt idx="22">
                  <c:v>İngiltere</c:v>
                </c:pt>
                <c:pt idx="23">
                  <c:v>İtalya</c:v>
                </c:pt>
                <c:pt idx="24">
                  <c:v>AB-27</c:v>
                </c:pt>
                <c:pt idx="25">
                  <c:v>Fransa</c:v>
                </c:pt>
                <c:pt idx="26">
                  <c:v>Romanya</c:v>
                </c:pt>
                <c:pt idx="27">
                  <c:v>Çek Cum.</c:v>
                </c:pt>
                <c:pt idx="28">
                  <c:v>Norveç</c:v>
                </c:pt>
                <c:pt idx="29">
                  <c:v>İsveç</c:v>
                </c:pt>
                <c:pt idx="30">
                  <c:v>Hırvatsitan</c:v>
                </c:pt>
                <c:pt idx="31">
                  <c:v>Türkiye</c:v>
                </c:pt>
                <c:pt idx="32">
                  <c:v>Litvanya</c:v>
                </c:pt>
              </c:strCache>
            </c:strRef>
          </c:cat>
          <c:val>
            <c:numRef>
              <c:f>Data!$K$658:$K$690</c:f>
              <c:numCache>
                <c:formatCode>#,##0</c:formatCode>
                <c:ptCount val="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formatCode="General">
                  <c:v>0</c:v>
                </c:pt>
                <c:pt idx="21">
                  <c:v>0</c:v>
                </c:pt>
                <c:pt idx="22" formatCode="#,##0.00">
                  <c:v>0.56000000000000005</c:v>
                </c:pt>
                <c:pt idx="23" formatCode="#,##0.00">
                  <c:v>0.97</c:v>
                </c:pt>
                <c:pt idx="24" formatCode="#,##0.00">
                  <c:v>1.04</c:v>
                </c:pt>
                <c:pt idx="25" formatCode="#,##0.00">
                  <c:v>2.02</c:v>
                </c:pt>
                <c:pt idx="26" formatCode="#,##0.00">
                  <c:v>3.45</c:v>
                </c:pt>
                <c:pt idx="27" formatCode="#,##0.00">
                  <c:v>4.05</c:v>
                </c:pt>
                <c:pt idx="28" formatCode="#,##0.00">
                  <c:v>4.9800000000000004</c:v>
                </c:pt>
                <c:pt idx="29" formatCode="#,##0.00">
                  <c:v>7.02</c:v>
                </c:pt>
                <c:pt idx="30" formatCode="#,##0.00">
                  <c:v>9.64</c:v>
                </c:pt>
                <c:pt idx="31" formatCode="General">
                  <c:v>15.94</c:v>
                </c:pt>
                <c:pt idx="32">
                  <c:v>50</c:v>
                </c:pt>
              </c:numCache>
            </c:numRef>
          </c:val>
        </c:ser>
        <c:dLbls>
          <c:showLegendKey val="0"/>
          <c:showVal val="0"/>
          <c:showCatName val="0"/>
          <c:showSerName val="0"/>
          <c:showPercent val="0"/>
          <c:showBubbleSize val="0"/>
        </c:dLbls>
        <c:gapWidth val="150"/>
        <c:shape val="box"/>
        <c:axId val="371549760"/>
        <c:axId val="371550544"/>
        <c:axId val="0"/>
      </c:bar3DChart>
      <c:catAx>
        <c:axId val="371549760"/>
        <c:scaling>
          <c:orientation val="minMax"/>
        </c:scaling>
        <c:delete val="0"/>
        <c:axPos val="l"/>
        <c:numFmt formatCode="General" sourceLinked="0"/>
        <c:majorTickMark val="out"/>
        <c:minorTickMark val="none"/>
        <c:tickLblPos val="nextTo"/>
        <c:crossAx val="371550544"/>
        <c:crosses val="autoZero"/>
        <c:auto val="1"/>
        <c:lblAlgn val="ctr"/>
        <c:lblOffset val="100"/>
        <c:tickLblSkip val="1"/>
        <c:noMultiLvlLbl val="0"/>
      </c:catAx>
      <c:valAx>
        <c:axId val="371550544"/>
        <c:scaling>
          <c:orientation val="minMax"/>
        </c:scaling>
        <c:delete val="0"/>
        <c:axPos val="b"/>
        <c:majorGridlines/>
        <c:numFmt formatCode="#,##0" sourceLinked="1"/>
        <c:majorTickMark val="out"/>
        <c:minorTickMark val="none"/>
        <c:tickLblPos val="nextTo"/>
        <c:crossAx val="3715497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Sayfa1!$G$19:$G$23</c:f>
              <c:strCache>
                <c:ptCount val="5"/>
                <c:pt idx="0">
                  <c:v>500 veüzeri</c:v>
                </c:pt>
                <c:pt idx="1">
                  <c:v>250 ila 499 arası</c:v>
                </c:pt>
                <c:pt idx="2">
                  <c:v>50 ila 249 arası</c:v>
                </c:pt>
                <c:pt idx="3">
                  <c:v>10 ila 49 arası</c:v>
                </c:pt>
                <c:pt idx="4">
                  <c:v>1 ila 9 arası</c:v>
                </c:pt>
              </c:strCache>
            </c:strRef>
          </c:cat>
          <c:val>
            <c:numRef>
              <c:f>Sayfa1!$H$19:$H$23</c:f>
              <c:numCache>
                <c:formatCode>0%</c:formatCode>
                <c:ptCount val="5"/>
                <c:pt idx="0">
                  <c:v>0</c:v>
                </c:pt>
                <c:pt idx="1">
                  <c:v>0.16</c:v>
                </c:pt>
                <c:pt idx="2">
                  <c:v>0.58000000000000007</c:v>
                </c:pt>
                <c:pt idx="3">
                  <c:v>0.64000000000000012</c:v>
                </c:pt>
                <c:pt idx="4">
                  <c:v>0.95000000000000007</c:v>
                </c:pt>
              </c:numCache>
            </c:numRef>
          </c:val>
        </c:ser>
        <c:dLbls>
          <c:showLegendKey val="0"/>
          <c:showVal val="0"/>
          <c:showCatName val="0"/>
          <c:showSerName val="0"/>
          <c:showPercent val="0"/>
          <c:showBubbleSize val="0"/>
        </c:dLbls>
        <c:gapWidth val="150"/>
        <c:shape val="box"/>
        <c:axId val="371543880"/>
        <c:axId val="371541136"/>
        <c:axId val="0"/>
      </c:bar3DChart>
      <c:catAx>
        <c:axId val="371543880"/>
        <c:scaling>
          <c:orientation val="minMax"/>
        </c:scaling>
        <c:delete val="0"/>
        <c:axPos val="l"/>
        <c:numFmt formatCode="General" sourceLinked="0"/>
        <c:majorTickMark val="out"/>
        <c:minorTickMark val="none"/>
        <c:tickLblPos val="nextTo"/>
        <c:crossAx val="371541136"/>
        <c:crosses val="autoZero"/>
        <c:auto val="1"/>
        <c:lblAlgn val="ctr"/>
        <c:lblOffset val="100"/>
        <c:noMultiLvlLbl val="0"/>
      </c:catAx>
      <c:valAx>
        <c:axId val="371541136"/>
        <c:scaling>
          <c:orientation val="minMax"/>
        </c:scaling>
        <c:delete val="0"/>
        <c:axPos val="b"/>
        <c:majorGridlines/>
        <c:numFmt formatCode="0%" sourceLinked="1"/>
        <c:majorTickMark val="out"/>
        <c:minorTickMark val="none"/>
        <c:tickLblPos val="nextTo"/>
        <c:crossAx val="3715438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Pt>
            <c:idx val="0"/>
            <c:invertIfNegative val="0"/>
            <c:bubble3D val="0"/>
            <c:spPr>
              <a:solidFill>
                <a:srgbClr val="FF0000"/>
              </a:solidFill>
              <a:ln>
                <a:solidFill>
                  <a:srgbClr val="FF0000"/>
                </a:solidFill>
              </a:ln>
              <a:effectLst/>
              <a:sp3d>
                <a:contourClr>
                  <a:srgbClr val="FF0000"/>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'[hsw_mi01 (1).xls]Sayfa1'!$Q$8:$Q$39</c:f>
              <c:strCache>
                <c:ptCount val="32"/>
                <c:pt idx="0">
                  <c:v>Türkiye</c:v>
                </c:pt>
                <c:pt idx="1">
                  <c:v>Malta</c:v>
                </c:pt>
                <c:pt idx="2">
                  <c:v>Letonya</c:v>
                </c:pt>
                <c:pt idx="3">
                  <c:v>Litvanya</c:v>
                </c:pt>
                <c:pt idx="4">
                  <c:v>Romanya</c:v>
                </c:pt>
                <c:pt idx="5">
                  <c:v>Avusturya</c:v>
                </c:pt>
                <c:pt idx="6">
                  <c:v>Portekiz</c:v>
                </c:pt>
                <c:pt idx="7">
                  <c:v>Kıbrıs</c:v>
                </c:pt>
                <c:pt idx="8">
                  <c:v>Bulgaristan</c:v>
                </c:pt>
                <c:pt idx="9">
                  <c:v>Fransa</c:v>
                </c:pt>
                <c:pt idx="10">
                  <c:v>Slovakya</c:v>
                </c:pt>
                <c:pt idx="11">
                  <c:v>Estonya</c:v>
                </c:pt>
                <c:pt idx="12">
                  <c:v>Belçika</c:v>
                </c:pt>
                <c:pt idx="13">
                  <c:v>İtalya</c:v>
                </c:pt>
                <c:pt idx="14">
                  <c:v>İrlanda</c:v>
                </c:pt>
                <c:pt idx="15">
                  <c:v>Slovenya</c:v>
                </c:pt>
                <c:pt idx="16">
                  <c:v>Norveç</c:v>
                </c:pt>
                <c:pt idx="17">
                  <c:v>Çek Cum.</c:v>
                </c:pt>
                <c:pt idx="18">
                  <c:v>İspanya</c:v>
                </c:pt>
                <c:pt idx="19">
                  <c:v>İsviçre</c:v>
                </c:pt>
                <c:pt idx="20">
                  <c:v>Hırvatsitan</c:v>
                </c:pt>
                <c:pt idx="21">
                  <c:v>Danimarka</c:v>
                </c:pt>
                <c:pt idx="22">
                  <c:v>AB-27</c:v>
                </c:pt>
                <c:pt idx="23">
                  <c:v>İngiltere</c:v>
                </c:pt>
                <c:pt idx="24">
                  <c:v>Polonya</c:v>
                </c:pt>
                <c:pt idx="25">
                  <c:v>Macaristan</c:v>
                </c:pt>
                <c:pt idx="26">
                  <c:v>Lüksemburg</c:v>
                </c:pt>
                <c:pt idx="27">
                  <c:v>Almanya</c:v>
                </c:pt>
                <c:pt idx="28">
                  <c:v>Finlandiya</c:v>
                </c:pt>
                <c:pt idx="29">
                  <c:v>İsveç</c:v>
                </c:pt>
                <c:pt idx="30">
                  <c:v>Yunanistan</c:v>
                </c:pt>
                <c:pt idx="31">
                  <c:v>Hollanda</c:v>
                </c:pt>
              </c:strCache>
            </c:strRef>
          </c:cat>
          <c:val>
            <c:numRef>
              <c:f>'[hsw_mi01 (1).xls]Sayfa1'!$R$8:$R$39</c:f>
              <c:numCache>
                <c:formatCode>0.0%</c:formatCode>
                <c:ptCount val="32"/>
                <c:pt idx="0">
                  <c:v>0.13200000000000001</c:v>
                </c:pt>
                <c:pt idx="1">
                  <c:v>5.400000000000002E-2</c:v>
                </c:pt>
                <c:pt idx="2">
                  <c:v>5.0599999999999999E-2</c:v>
                </c:pt>
                <c:pt idx="3">
                  <c:v>4.7300000000000009E-2</c:v>
                </c:pt>
                <c:pt idx="4">
                  <c:v>4.6699999999999998E-2</c:v>
                </c:pt>
                <c:pt idx="5">
                  <c:v>4.6599999999999996E-2</c:v>
                </c:pt>
                <c:pt idx="6">
                  <c:v>4.5200000000000004E-2</c:v>
                </c:pt>
                <c:pt idx="7">
                  <c:v>3.7599999999999995E-2</c:v>
                </c:pt>
                <c:pt idx="8">
                  <c:v>3.740000000000001E-2</c:v>
                </c:pt>
                <c:pt idx="9">
                  <c:v>3.7100000000000001E-2</c:v>
                </c:pt>
                <c:pt idx="10">
                  <c:v>3.4599999999999999E-2</c:v>
                </c:pt>
                <c:pt idx="11">
                  <c:v>3.4300000000000004E-2</c:v>
                </c:pt>
                <c:pt idx="12">
                  <c:v>3.1700000000000006E-2</c:v>
                </c:pt>
                <c:pt idx="13">
                  <c:v>3.1300000000000001E-2</c:v>
                </c:pt>
                <c:pt idx="14">
                  <c:v>2.9399999999999999E-2</c:v>
                </c:pt>
                <c:pt idx="15">
                  <c:v>2.9399999999999999E-2</c:v>
                </c:pt>
                <c:pt idx="16">
                  <c:v>2.8899999999999999E-2</c:v>
                </c:pt>
                <c:pt idx="17">
                  <c:v>2.7600000000000006E-2</c:v>
                </c:pt>
                <c:pt idx="18">
                  <c:v>2.7600000000000006E-2</c:v>
                </c:pt>
                <c:pt idx="19">
                  <c:v>2.5600000000000005E-2</c:v>
                </c:pt>
                <c:pt idx="20">
                  <c:v>2.5500000000000002E-2</c:v>
                </c:pt>
                <c:pt idx="21">
                  <c:v>2.4799999999999999E-2</c:v>
                </c:pt>
                <c:pt idx="22">
                  <c:v>2.2200000000000004E-2</c:v>
                </c:pt>
                <c:pt idx="23">
                  <c:v>2.0500000000000001E-2</c:v>
                </c:pt>
                <c:pt idx="24">
                  <c:v>1.9199999999999998E-2</c:v>
                </c:pt>
                <c:pt idx="25">
                  <c:v>1.8000000000000006E-2</c:v>
                </c:pt>
                <c:pt idx="26">
                  <c:v>1.6100000000000003E-2</c:v>
                </c:pt>
                <c:pt idx="27">
                  <c:v>1.2900000000000002E-2</c:v>
                </c:pt>
                <c:pt idx="28">
                  <c:v>1.2900000000000002E-2</c:v>
                </c:pt>
                <c:pt idx="29">
                  <c:v>1.2699999999999998E-2</c:v>
                </c:pt>
                <c:pt idx="30">
                  <c:v>1.1699999999999999E-2</c:v>
                </c:pt>
                <c:pt idx="31">
                  <c:v>7.7000000000000011E-3</c:v>
                </c:pt>
              </c:numCache>
            </c:numRef>
          </c:val>
        </c:ser>
        <c:dLbls>
          <c:showLegendKey val="0"/>
          <c:showVal val="0"/>
          <c:showCatName val="0"/>
          <c:showSerName val="0"/>
          <c:showPercent val="0"/>
          <c:showBubbleSize val="0"/>
        </c:dLbls>
        <c:gapWidth val="150"/>
        <c:shape val="box"/>
        <c:axId val="371540744"/>
        <c:axId val="371541528"/>
        <c:axId val="0"/>
      </c:bar3DChart>
      <c:catAx>
        <c:axId val="3715407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crossAx val="371541528"/>
        <c:crosses val="autoZero"/>
        <c:auto val="1"/>
        <c:lblAlgn val="ctr"/>
        <c:lblOffset val="100"/>
        <c:tickLblSkip val="1"/>
        <c:noMultiLvlLbl val="0"/>
      </c:catAx>
      <c:valAx>
        <c:axId val="37154152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71540744"/>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0717565797005583E-2"/>
          <c:y val="4.7446665320681113E-2"/>
          <c:w val="0.89591170247499363"/>
          <c:h val="0.59668921192543245"/>
        </c:manualLayout>
      </c:layout>
      <c:bar3DChart>
        <c:barDir val="col"/>
        <c:grouping val="clustered"/>
        <c:varyColors val="0"/>
        <c:ser>
          <c:idx val="0"/>
          <c:order val="0"/>
          <c:tx>
            <c:strRef>
              <c:f>Data!$L$360</c:f>
              <c:strCache>
                <c:ptCount val="1"/>
                <c:pt idx="0">
                  <c:v>Türkiye</c:v>
                </c:pt>
              </c:strCache>
            </c:strRef>
          </c:tx>
          <c:invertIfNegative val="0"/>
          <c:dLbls>
            <c:spPr>
              <a:noFill/>
              <a:ln>
                <a:noFill/>
              </a:ln>
              <a:effectLst/>
            </c:spPr>
            <c:txPr>
              <a:bodyPr/>
              <a:lstStyle/>
              <a:p>
                <a:pPr>
                  <a:defRPr sz="800"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Data!$K$361:$K$367</c:f>
              <c:strCache>
                <c:ptCount val="7"/>
                <c:pt idx="0">
                  <c:v>24-Ana metal sanayii</c:v>
                </c:pt>
                <c:pt idx="1">
                  <c:v>25-Makine ve teçhizat hariç. Fabrikasyon</c:v>
                </c:pt>
                <c:pt idx="2">
                  <c:v>26-Bilgisayar vb. ürünlerin imalatı</c:v>
                </c:pt>
                <c:pt idx="3">
                  <c:v>27-Elektrikli teçhizat imalatı</c:v>
                </c:pt>
                <c:pt idx="4">
                  <c:v>28-BYS makine ve ekipman imalatı</c:v>
                </c:pt>
                <c:pt idx="5">
                  <c:v>29-Motorlu kara taşıtı vb.</c:v>
                </c:pt>
                <c:pt idx="6">
                  <c:v>30-Diğer ulaşım araçlarının imalatı</c:v>
                </c:pt>
              </c:strCache>
            </c:strRef>
          </c:cat>
          <c:val>
            <c:numRef>
              <c:f>Data!$L$361:$L$367</c:f>
              <c:numCache>
                <c:formatCode>0.0</c:formatCode>
                <c:ptCount val="7"/>
                <c:pt idx="0">
                  <c:v>21.27007363199019</c:v>
                </c:pt>
                <c:pt idx="1">
                  <c:v>9.3066295110562756</c:v>
                </c:pt>
                <c:pt idx="2">
                  <c:v>6.1994358513375278</c:v>
                </c:pt>
                <c:pt idx="3">
                  <c:v>6.4072640067367805</c:v>
                </c:pt>
                <c:pt idx="4">
                  <c:v>6.641308941616856</c:v>
                </c:pt>
                <c:pt idx="5">
                  <c:v>4.983483312450165</c:v>
                </c:pt>
                <c:pt idx="6">
                  <c:v>15.94242507060217</c:v>
                </c:pt>
              </c:numCache>
            </c:numRef>
          </c:val>
        </c:ser>
        <c:ser>
          <c:idx val="1"/>
          <c:order val="1"/>
          <c:tx>
            <c:strRef>
              <c:f>Data!$M$360</c:f>
              <c:strCache>
                <c:ptCount val="1"/>
                <c:pt idx="0">
                  <c:v>AB27</c:v>
                </c:pt>
              </c:strCache>
            </c:strRef>
          </c:tx>
          <c:invertIfNegative val="0"/>
          <c:dLbls>
            <c:numFmt formatCode="#,##0.0" sourceLinked="0"/>
            <c:spPr>
              <a:noFill/>
              <a:ln>
                <a:noFill/>
              </a:ln>
              <a:effectLst/>
            </c:spPr>
            <c:txPr>
              <a:bodyPr/>
              <a:lstStyle/>
              <a:p>
                <a:pPr>
                  <a:defRPr sz="800"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Data!$K$361:$K$367</c:f>
              <c:strCache>
                <c:ptCount val="7"/>
                <c:pt idx="0">
                  <c:v>24-Ana metal sanayii</c:v>
                </c:pt>
                <c:pt idx="1">
                  <c:v>25-Makine ve teçhizat hariç. Fabrikasyon</c:v>
                </c:pt>
                <c:pt idx="2">
                  <c:v>26-Bilgisayar vb. ürünlerin imalatı</c:v>
                </c:pt>
                <c:pt idx="3">
                  <c:v>27-Elektrikli teçhizat imalatı</c:v>
                </c:pt>
                <c:pt idx="4">
                  <c:v>28-BYS makine ve ekipman imalatı</c:v>
                </c:pt>
                <c:pt idx="5">
                  <c:v>29-Motorlu kara taşıtı vb.</c:v>
                </c:pt>
                <c:pt idx="6">
                  <c:v>30-Diğer ulaşım araçlarının imalatı</c:v>
                </c:pt>
              </c:strCache>
            </c:strRef>
          </c:cat>
          <c:val>
            <c:numRef>
              <c:f>Data!$M$361:$M$367</c:f>
              <c:numCache>
                <c:formatCode>General</c:formatCode>
                <c:ptCount val="7"/>
                <c:pt idx="0">
                  <c:v>3.52</c:v>
                </c:pt>
                <c:pt idx="1">
                  <c:v>2.77</c:v>
                </c:pt>
                <c:pt idx="2">
                  <c:v>0.21</c:v>
                </c:pt>
                <c:pt idx="3">
                  <c:v>1.25</c:v>
                </c:pt>
                <c:pt idx="4">
                  <c:v>1.2</c:v>
                </c:pt>
                <c:pt idx="5">
                  <c:v>0.52</c:v>
                </c:pt>
                <c:pt idx="6">
                  <c:v>1.04</c:v>
                </c:pt>
              </c:numCache>
            </c:numRef>
          </c:val>
        </c:ser>
        <c:dLbls>
          <c:showLegendKey val="0"/>
          <c:showVal val="0"/>
          <c:showCatName val="0"/>
          <c:showSerName val="0"/>
          <c:showPercent val="0"/>
          <c:showBubbleSize val="0"/>
        </c:dLbls>
        <c:gapWidth val="150"/>
        <c:shape val="box"/>
        <c:axId val="371544272"/>
        <c:axId val="371537608"/>
        <c:axId val="0"/>
      </c:bar3DChart>
      <c:catAx>
        <c:axId val="371544272"/>
        <c:scaling>
          <c:orientation val="minMax"/>
        </c:scaling>
        <c:delete val="0"/>
        <c:axPos val="b"/>
        <c:numFmt formatCode="@" sourceLinked="0"/>
        <c:majorTickMark val="out"/>
        <c:minorTickMark val="none"/>
        <c:tickLblPos val="nextTo"/>
        <c:txPr>
          <a:bodyPr/>
          <a:lstStyle/>
          <a:p>
            <a:pPr>
              <a:defRPr sz="800"/>
            </a:pPr>
            <a:endParaRPr lang="tr-TR"/>
          </a:p>
        </c:txPr>
        <c:crossAx val="371537608"/>
        <c:crosses val="autoZero"/>
        <c:auto val="1"/>
        <c:lblAlgn val="ctr"/>
        <c:lblOffset val="100"/>
        <c:tickLblSkip val="1"/>
        <c:noMultiLvlLbl val="0"/>
      </c:catAx>
      <c:valAx>
        <c:axId val="371537608"/>
        <c:scaling>
          <c:orientation val="minMax"/>
        </c:scaling>
        <c:delete val="0"/>
        <c:axPos val="l"/>
        <c:majorGridlines/>
        <c:numFmt formatCode="0" sourceLinked="0"/>
        <c:majorTickMark val="out"/>
        <c:minorTickMark val="none"/>
        <c:tickLblPos val="nextTo"/>
        <c:txPr>
          <a:bodyPr/>
          <a:lstStyle/>
          <a:p>
            <a:pPr>
              <a:defRPr sz="800"/>
            </a:pPr>
            <a:endParaRPr lang="tr-TR"/>
          </a:p>
        </c:txPr>
        <c:crossAx val="371544272"/>
        <c:crosses val="autoZero"/>
        <c:crossBetween val="between"/>
      </c:valAx>
    </c:plotArea>
    <c:legend>
      <c:legendPos val="r"/>
      <c:layout>
        <c:manualLayout>
          <c:xMode val="edge"/>
          <c:yMode val="edge"/>
          <c:x val="0.35920623815399483"/>
          <c:y val="0.82870549835116825"/>
          <c:w val="0.27399098537561695"/>
          <c:h val="0.1545548152634767"/>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sz="8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Data!$I$400:$I$432</c:f>
              <c:strCache>
                <c:ptCount val="33"/>
                <c:pt idx="0">
                  <c:v>Danimarka</c:v>
                </c:pt>
                <c:pt idx="1">
                  <c:v>Estonya</c:v>
                </c:pt>
                <c:pt idx="2">
                  <c:v>İrlanda</c:v>
                </c:pt>
                <c:pt idx="3">
                  <c:v>Yunanistan</c:v>
                </c:pt>
                <c:pt idx="4">
                  <c:v>Kıbrıs</c:v>
                </c:pt>
                <c:pt idx="5">
                  <c:v>Litvanya</c:v>
                </c:pt>
                <c:pt idx="6">
                  <c:v>Letonya</c:v>
                </c:pt>
                <c:pt idx="7">
                  <c:v>Lüksemburg</c:v>
                </c:pt>
                <c:pt idx="8">
                  <c:v>Malta</c:v>
                </c:pt>
                <c:pt idx="9">
                  <c:v>Portekiz</c:v>
                </c:pt>
                <c:pt idx="10">
                  <c:v>İzlanda</c:v>
                </c:pt>
                <c:pt idx="11">
                  <c:v>Norveç</c:v>
                </c:pt>
                <c:pt idx="12">
                  <c:v>İngiltere</c:v>
                </c:pt>
                <c:pt idx="13">
                  <c:v>Hollanda</c:v>
                </c:pt>
                <c:pt idx="14">
                  <c:v>Almanya</c:v>
                </c:pt>
                <c:pt idx="15">
                  <c:v>Çek Cum.</c:v>
                </c:pt>
                <c:pt idx="16">
                  <c:v>İtalya</c:v>
                </c:pt>
                <c:pt idx="17">
                  <c:v>Avusturya</c:v>
                </c:pt>
                <c:pt idx="18">
                  <c:v>Slovakya</c:v>
                </c:pt>
                <c:pt idx="19">
                  <c:v>AB-27</c:v>
                </c:pt>
                <c:pt idx="20">
                  <c:v>İsveç</c:v>
                </c:pt>
                <c:pt idx="21">
                  <c:v>Macaristan</c:v>
                </c:pt>
                <c:pt idx="22">
                  <c:v>Fransa</c:v>
                </c:pt>
                <c:pt idx="23">
                  <c:v>Polonya</c:v>
                </c:pt>
                <c:pt idx="24">
                  <c:v>İspanya</c:v>
                </c:pt>
                <c:pt idx="25">
                  <c:v>Finlandiya</c:v>
                </c:pt>
                <c:pt idx="26">
                  <c:v>Bulgaristan</c:v>
                </c:pt>
                <c:pt idx="27">
                  <c:v>Belçika</c:v>
                </c:pt>
                <c:pt idx="28">
                  <c:v>Slovenya</c:v>
                </c:pt>
                <c:pt idx="29">
                  <c:v>Romanya</c:v>
                </c:pt>
                <c:pt idx="30">
                  <c:v>İsviçre</c:v>
                </c:pt>
                <c:pt idx="31">
                  <c:v>Türkiye</c:v>
                </c:pt>
                <c:pt idx="32">
                  <c:v>Hırvatsitan</c:v>
                </c:pt>
              </c:strCache>
            </c:strRef>
          </c:cat>
          <c:val>
            <c:numRef>
              <c:f>Data!$J$400:$J$432</c:f>
              <c:numCache>
                <c:formatCode>General</c:formatCode>
                <c:ptCount val="33"/>
                <c:pt idx="0">
                  <c:v>0</c:v>
                </c:pt>
                <c:pt idx="1">
                  <c:v>0</c:v>
                </c:pt>
                <c:pt idx="2">
                  <c:v>0</c:v>
                </c:pt>
                <c:pt idx="3">
                  <c:v>0</c:v>
                </c:pt>
                <c:pt idx="4">
                  <c:v>0</c:v>
                </c:pt>
                <c:pt idx="5">
                  <c:v>0</c:v>
                </c:pt>
                <c:pt idx="6">
                  <c:v>0</c:v>
                </c:pt>
                <c:pt idx="7">
                  <c:v>0</c:v>
                </c:pt>
                <c:pt idx="8">
                  <c:v>0</c:v>
                </c:pt>
                <c:pt idx="9">
                  <c:v>0</c:v>
                </c:pt>
                <c:pt idx="10">
                  <c:v>0</c:v>
                </c:pt>
                <c:pt idx="11">
                  <c:v>0</c:v>
                </c:pt>
                <c:pt idx="12">
                  <c:v>1.03</c:v>
                </c:pt>
                <c:pt idx="13">
                  <c:v>1.27</c:v>
                </c:pt>
                <c:pt idx="14">
                  <c:v>1.6</c:v>
                </c:pt>
                <c:pt idx="15">
                  <c:v>1.82</c:v>
                </c:pt>
                <c:pt idx="16">
                  <c:v>2.88</c:v>
                </c:pt>
                <c:pt idx="17">
                  <c:v>3.08</c:v>
                </c:pt>
                <c:pt idx="18">
                  <c:v>3.37</c:v>
                </c:pt>
                <c:pt idx="19">
                  <c:v>3.52</c:v>
                </c:pt>
                <c:pt idx="20">
                  <c:v>3.52</c:v>
                </c:pt>
                <c:pt idx="21">
                  <c:v>3.64</c:v>
                </c:pt>
                <c:pt idx="22">
                  <c:v>5.78</c:v>
                </c:pt>
                <c:pt idx="23">
                  <c:v>6.16</c:v>
                </c:pt>
                <c:pt idx="24">
                  <c:v>6.99</c:v>
                </c:pt>
                <c:pt idx="25">
                  <c:v>7.3</c:v>
                </c:pt>
                <c:pt idx="26">
                  <c:v>8.15</c:v>
                </c:pt>
                <c:pt idx="27">
                  <c:v>11.11</c:v>
                </c:pt>
                <c:pt idx="28">
                  <c:v>13.05</c:v>
                </c:pt>
                <c:pt idx="29">
                  <c:v>16.13</c:v>
                </c:pt>
                <c:pt idx="30">
                  <c:v>16.54</c:v>
                </c:pt>
                <c:pt idx="31">
                  <c:v>21.27</c:v>
                </c:pt>
                <c:pt idx="32">
                  <c:v>47.03</c:v>
                </c:pt>
              </c:numCache>
            </c:numRef>
          </c:val>
        </c:ser>
        <c:dLbls>
          <c:showLegendKey val="0"/>
          <c:showVal val="0"/>
          <c:showCatName val="0"/>
          <c:showSerName val="0"/>
          <c:showPercent val="0"/>
          <c:showBubbleSize val="0"/>
        </c:dLbls>
        <c:gapWidth val="150"/>
        <c:shape val="box"/>
        <c:axId val="371543096"/>
        <c:axId val="371538784"/>
        <c:axId val="0"/>
      </c:bar3DChart>
      <c:catAx>
        <c:axId val="371543096"/>
        <c:scaling>
          <c:orientation val="minMax"/>
        </c:scaling>
        <c:delete val="0"/>
        <c:axPos val="l"/>
        <c:numFmt formatCode="#,##0.00" sourceLinked="0"/>
        <c:majorTickMark val="out"/>
        <c:minorTickMark val="none"/>
        <c:tickLblPos val="nextTo"/>
        <c:txPr>
          <a:bodyPr/>
          <a:lstStyle/>
          <a:p>
            <a:pPr>
              <a:defRPr sz="800"/>
            </a:pPr>
            <a:endParaRPr lang="tr-TR"/>
          </a:p>
        </c:txPr>
        <c:crossAx val="371538784"/>
        <c:crosses val="autoZero"/>
        <c:auto val="1"/>
        <c:lblAlgn val="ctr"/>
        <c:lblOffset val="100"/>
        <c:tickLblSkip val="1"/>
        <c:noMultiLvlLbl val="0"/>
      </c:catAx>
      <c:valAx>
        <c:axId val="371538784"/>
        <c:scaling>
          <c:orientation val="minMax"/>
        </c:scaling>
        <c:delete val="0"/>
        <c:axPos val="b"/>
        <c:majorGridlines/>
        <c:numFmt formatCode="General" sourceLinked="1"/>
        <c:majorTickMark val="out"/>
        <c:minorTickMark val="none"/>
        <c:tickLblPos val="nextTo"/>
        <c:crossAx val="37154309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6446762904636927"/>
          <c:y val="5.0925925925925923E-2"/>
          <c:w val="0.79090048118985123"/>
          <c:h val="0.82184784193642468"/>
        </c:manualLayout>
      </c:layout>
      <c:bar3DChart>
        <c:barDir val="bar"/>
        <c:grouping val="clustered"/>
        <c:varyColors val="0"/>
        <c:ser>
          <c:idx val="0"/>
          <c:order val="0"/>
          <c:invertIfNegative val="0"/>
          <c:dLbls>
            <c:spPr>
              <a:noFill/>
              <a:ln>
                <a:noFill/>
              </a:ln>
              <a:effectLst/>
            </c:spPr>
            <c:txPr>
              <a:bodyPr/>
              <a:lstStyle/>
              <a:p>
                <a:pPr>
                  <a:defRPr sz="7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Data!$I$443:$I$475</c:f>
              <c:strCache>
                <c:ptCount val="33"/>
                <c:pt idx="0">
                  <c:v>Estonya</c:v>
                </c:pt>
                <c:pt idx="1">
                  <c:v>Hırvatsitan</c:v>
                </c:pt>
                <c:pt idx="2">
                  <c:v>Lüksemburg</c:v>
                </c:pt>
                <c:pt idx="3">
                  <c:v>Malta</c:v>
                </c:pt>
                <c:pt idx="4">
                  <c:v>Finlandiya</c:v>
                </c:pt>
                <c:pt idx="5">
                  <c:v>İsveç</c:v>
                </c:pt>
                <c:pt idx="6">
                  <c:v>İzlanda</c:v>
                </c:pt>
                <c:pt idx="7">
                  <c:v>Norveç</c:v>
                </c:pt>
                <c:pt idx="8">
                  <c:v>İsviçre</c:v>
                </c:pt>
                <c:pt idx="9">
                  <c:v>Hollanda</c:v>
                </c:pt>
                <c:pt idx="10">
                  <c:v>Macaristan</c:v>
                </c:pt>
                <c:pt idx="11">
                  <c:v>Almanya</c:v>
                </c:pt>
                <c:pt idx="12">
                  <c:v>Belçika</c:v>
                </c:pt>
                <c:pt idx="13">
                  <c:v>İngiltere</c:v>
                </c:pt>
                <c:pt idx="14">
                  <c:v>Polonya</c:v>
                </c:pt>
                <c:pt idx="15">
                  <c:v>Fransa</c:v>
                </c:pt>
                <c:pt idx="16">
                  <c:v>AB-27</c:v>
                </c:pt>
                <c:pt idx="17">
                  <c:v>Danimarka</c:v>
                </c:pt>
                <c:pt idx="18">
                  <c:v>Çek Cum.</c:v>
                </c:pt>
                <c:pt idx="19">
                  <c:v>İtalya</c:v>
                </c:pt>
                <c:pt idx="20">
                  <c:v>Slovenya</c:v>
                </c:pt>
                <c:pt idx="21">
                  <c:v>Avusturya</c:v>
                </c:pt>
                <c:pt idx="22">
                  <c:v>Yunanistan</c:v>
                </c:pt>
                <c:pt idx="23">
                  <c:v>İspanya</c:v>
                </c:pt>
                <c:pt idx="24">
                  <c:v>Slovakya</c:v>
                </c:pt>
                <c:pt idx="25">
                  <c:v>Bulgaristan</c:v>
                </c:pt>
                <c:pt idx="26">
                  <c:v>Letonya</c:v>
                </c:pt>
                <c:pt idx="27">
                  <c:v>İrlanda</c:v>
                </c:pt>
                <c:pt idx="28">
                  <c:v>Litvanya</c:v>
                </c:pt>
                <c:pt idx="29">
                  <c:v>Türkiye</c:v>
                </c:pt>
                <c:pt idx="30">
                  <c:v>Romanya</c:v>
                </c:pt>
                <c:pt idx="31">
                  <c:v>Portekiz</c:v>
                </c:pt>
                <c:pt idx="32">
                  <c:v>Kıbrıs</c:v>
                </c:pt>
              </c:strCache>
            </c:strRef>
          </c:cat>
          <c:val>
            <c:numRef>
              <c:f>Data!$J$443:$J$475</c:f>
              <c:numCache>
                <c:formatCode>General</c:formatCode>
                <c:ptCount val="33"/>
                <c:pt idx="0">
                  <c:v>0</c:v>
                </c:pt>
                <c:pt idx="1">
                  <c:v>0</c:v>
                </c:pt>
                <c:pt idx="2">
                  <c:v>0</c:v>
                </c:pt>
                <c:pt idx="3">
                  <c:v>0</c:v>
                </c:pt>
                <c:pt idx="4">
                  <c:v>0</c:v>
                </c:pt>
                <c:pt idx="5">
                  <c:v>0</c:v>
                </c:pt>
                <c:pt idx="6">
                  <c:v>0</c:v>
                </c:pt>
                <c:pt idx="7">
                  <c:v>0</c:v>
                </c:pt>
                <c:pt idx="8">
                  <c:v>0</c:v>
                </c:pt>
                <c:pt idx="9">
                  <c:v>1.1200000000000001</c:v>
                </c:pt>
                <c:pt idx="10">
                  <c:v>1.34</c:v>
                </c:pt>
                <c:pt idx="11">
                  <c:v>1.46</c:v>
                </c:pt>
                <c:pt idx="12">
                  <c:v>1.82</c:v>
                </c:pt>
                <c:pt idx="13">
                  <c:v>2.06</c:v>
                </c:pt>
                <c:pt idx="14">
                  <c:v>2.2000000000000002</c:v>
                </c:pt>
                <c:pt idx="15">
                  <c:v>2.27</c:v>
                </c:pt>
                <c:pt idx="16">
                  <c:v>2.77</c:v>
                </c:pt>
                <c:pt idx="17">
                  <c:v>2.78</c:v>
                </c:pt>
                <c:pt idx="18">
                  <c:v>3.33</c:v>
                </c:pt>
                <c:pt idx="19">
                  <c:v>3.39</c:v>
                </c:pt>
                <c:pt idx="20">
                  <c:v>3.46</c:v>
                </c:pt>
                <c:pt idx="21">
                  <c:v>3.59</c:v>
                </c:pt>
                <c:pt idx="22">
                  <c:v>3.76</c:v>
                </c:pt>
                <c:pt idx="23">
                  <c:v>4.16</c:v>
                </c:pt>
                <c:pt idx="24">
                  <c:v>4.8</c:v>
                </c:pt>
                <c:pt idx="25">
                  <c:v>4.93</c:v>
                </c:pt>
                <c:pt idx="26">
                  <c:v>7.57</c:v>
                </c:pt>
                <c:pt idx="27">
                  <c:v>8.14</c:v>
                </c:pt>
                <c:pt idx="28">
                  <c:v>9.09</c:v>
                </c:pt>
                <c:pt idx="29">
                  <c:v>9.3000000000000007</c:v>
                </c:pt>
                <c:pt idx="30">
                  <c:v>9.4600000000000009</c:v>
                </c:pt>
                <c:pt idx="31">
                  <c:v>11.72</c:v>
                </c:pt>
                <c:pt idx="32">
                  <c:v>22.12</c:v>
                </c:pt>
              </c:numCache>
            </c:numRef>
          </c:val>
        </c:ser>
        <c:dLbls>
          <c:showLegendKey val="0"/>
          <c:showVal val="0"/>
          <c:showCatName val="0"/>
          <c:showSerName val="0"/>
          <c:showPercent val="0"/>
          <c:showBubbleSize val="0"/>
        </c:dLbls>
        <c:gapWidth val="150"/>
        <c:shape val="box"/>
        <c:axId val="371543488"/>
        <c:axId val="371547016"/>
        <c:axId val="0"/>
      </c:bar3DChart>
      <c:catAx>
        <c:axId val="371543488"/>
        <c:scaling>
          <c:orientation val="minMax"/>
        </c:scaling>
        <c:delete val="0"/>
        <c:axPos val="l"/>
        <c:numFmt formatCode="#,##0.00" sourceLinked="0"/>
        <c:majorTickMark val="out"/>
        <c:minorTickMark val="none"/>
        <c:tickLblPos val="nextTo"/>
        <c:txPr>
          <a:bodyPr/>
          <a:lstStyle/>
          <a:p>
            <a:pPr>
              <a:defRPr sz="700"/>
            </a:pPr>
            <a:endParaRPr lang="tr-TR"/>
          </a:p>
        </c:txPr>
        <c:crossAx val="371547016"/>
        <c:crosses val="autoZero"/>
        <c:auto val="1"/>
        <c:lblAlgn val="ctr"/>
        <c:lblOffset val="100"/>
        <c:tickLblSkip val="1"/>
        <c:noMultiLvlLbl val="0"/>
      </c:catAx>
      <c:valAx>
        <c:axId val="371547016"/>
        <c:scaling>
          <c:orientation val="minMax"/>
        </c:scaling>
        <c:delete val="0"/>
        <c:axPos val="b"/>
        <c:majorGridlines/>
        <c:numFmt formatCode="General" sourceLinked="1"/>
        <c:majorTickMark val="out"/>
        <c:minorTickMark val="none"/>
        <c:tickLblPos val="nextTo"/>
        <c:txPr>
          <a:bodyPr/>
          <a:lstStyle/>
          <a:p>
            <a:pPr>
              <a:defRPr sz="800"/>
            </a:pPr>
            <a:endParaRPr lang="tr-TR"/>
          </a:p>
        </c:txPr>
        <c:crossAx val="37154348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sz="7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Data!$I$486:$I$518</c:f>
              <c:strCache>
                <c:ptCount val="33"/>
                <c:pt idx="0">
                  <c:v>Belçika</c:v>
                </c:pt>
                <c:pt idx="1">
                  <c:v>Bulgaristan</c:v>
                </c:pt>
                <c:pt idx="2">
                  <c:v>Çek Cum.</c:v>
                </c:pt>
                <c:pt idx="3">
                  <c:v>Danimarka</c:v>
                </c:pt>
                <c:pt idx="4">
                  <c:v>Estonya</c:v>
                </c:pt>
                <c:pt idx="5">
                  <c:v>İrlanda</c:v>
                </c:pt>
                <c:pt idx="6">
                  <c:v>Yunanistan</c:v>
                </c:pt>
                <c:pt idx="7">
                  <c:v>İspanya</c:v>
                </c:pt>
                <c:pt idx="8">
                  <c:v>Fransa</c:v>
                </c:pt>
                <c:pt idx="9">
                  <c:v>Hırvatsitan</c:v>
                </c:pt>
                <c:pt idx="10">
                  <c:v>İtalya</c:v>
                </c:pt>
                <c:pt idx="11">
                  <c:v>Kıbrıs</c:v>
                </c:pt>
                <c:pt idx="12">
                  <c:v>Litvanya</c:v>
                </c:pt>
                <c:pt idx="13">
                  <c:v>Letonya</c:v>
                </c:pt>
                <c:pt idx="14">
                  <c:v>Lüksemburg</c:v>
                </c:pt>
                <c:pt idx="15">
                  <c:v>Macaristan</c:v>
                </c:pt>
                <c:pt idx="16">
                  <c:v>Malta</c:v>
                </c:pt>
                <c:pt idx="17">
                  <c:v>Hollanda</c:v>
                </c:pt>
                <c:pt idx="18">
                  <c:v>Avusturya</c:v>
                </c:pt>
                <c:pt idx="19">
                  <c:v>Polonya</c:v>
                </c:pt>
                <c:pt idx="20">
                  <c:v>Portekiz</c:v>
                </c:pt>
                <c:pt idx="21">
                  <c:v>Romanya</c:v>
                </c:pt>
                <c:pt idx="22">
                  <c:v>Slovenya</c:v>
                </c:pt>
                <c:pt idx="23">
                  <c:v>Slovakya</c:v>
                </c:pt>
                <c:pt idx="24">
                  <c:v>Finlandiya</c:v>
                </c:pt>
                <c:pt idx="25">
                  <c:v>İsveç</c:v>
                </c:pt>
                <c:pt idx="26">
                  <c:v>İngiltere</c:v>
                </c:pt>
                <c:pt idx="27">
                  <c:v>İzlanda</c:v>
                </c:pt>
                <c:pt idx="28">
                  <c:v>Norveç</c:v>
                </c:pt>
                <c:pt idx="29">
                  <c:v>AB-27</c:v>
                </c:pt>
                <c:pt idx="30">
                  <c:v>Almanya</c:v>
                </c:pt>
                <c:pt idx="31">
                  <c:v>İsviçre</c:v>
                </c:pt>
                <c:pt idx="32">
                  <c:v>Türkiye</c:v>
                </c:pt>
              </c:strCache>
            </c:strRef>
          </c:cat>
          <c:val>
            <c:numRef>
              <c:f>Data!$J$486:$J$518</c:f>
              <c:numCache>
                <c:formatCode>General</c:formatCode>
                <c:ptCount val="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0.21</c:v>
                </c:pt>
                <c:pt idx="30">
                  <c:v>0.56000000000000005</c:v>
                </c:pt>
                <c:pt idx="31">
                  <c:v>1.25</c:v>
                </c:pt>
                <c:pt idx="32">
                  <c:v>6.2</c:v>
                </c:pt>
              </c:numCache>
            </c:numRef>
          </c:val>
        </c:ser>
        <c:dLbls>
          <c:showLegendKey val="0"/>
          <c:showVal val="0"/>
          <c:showCatName val="0"/>
          <c:showSerName val="0"/>
          <c:showPercent val="0"/>
          <c:showBubbleSize val="0"/>
        </c:dLbls>
        <c:gapWidth val="150"/>
        <c:shape val="box"/>
        <c:axId val="371546624"/>
        <c:axId val="371547408"/>
        <c:axId val="0"/>
      </c:bar3DChart>
      <c:catAx>
        <c:axId val="371546624"/>
        <c:scaling>
          <c:orientation val="minMax"/>
        </c:scaling>
        <c:delete val="0"/>
        <c:axPos val="l"/>
        <c:numFmt formatCode="General" sourceLinked="0"/>
        <c:majorTickMark val="out"/>
        <c:minorTickMark val="none"/>
        <c:tickLblPos val="nextTo"/>
        <c:txPr>
          <a:bodyPr/>
          <a:lstStyle/>
          <a:p>
            <a:pPr>
              <a:defRPr sz="800"/>
            </a:pPr>
            <a:endParaRPr lang="tr-TR"/>
          </a:p>
        </c:txPr>
        <c:crossAx val="371547408"/>
        <c:crosses val="autoZero"/>
        <c:auto val="1"/>
        <c:lblAlgn val="ctr"/>
        <c:lblOffset val="100"/>
        <c:tickLblSkip val="1"/>
        <c:noMultiLvlLbl val="0"/>
      </c:catAx>
      <c:valAx>
        <c:axId val="371547408"/>
        <c:scaling>
          <c:orientation val="minMax"/>
        </c:scaling>
        <c:delete val="0"/>
        <c:axPos val="b"/>
        <c:majorGridlines/>
        <c:numFmt formatCode="General" sourceLinked="1"/>
        <c:majorTickMark val="out"/>
        <c:minorTickMark val="none"/>
        <c:tickLblPos val="nextTo"/>
        <c:crossAx val="37154662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sz="8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Data!$I$529:$I$560</c:f>
              <c:strCache>
                <c:ptCount val="32"/>
                <c:pt idx="0">
                  <c:v>Belçika</c:v>
                </c:pt>
                <c:pt idx="1">
                  <c:v>Bulgaristan</c:v>
                </c:pt>
                <c:pt idx="2">
                  <c:v>Çek Cum.</c:v>
                </c:pt>
                <c:pt idx="3">
                  <c:v>Danimarka</c:v>
                </c:pt>
                <c:pt idx="4">
                  <c:v>Estonya</c:v>
                </c:pt>
                <c:pt idx="5">
                  <c:v>İrlanda</c:v>
                </c:pt>
                <c:pt idx="6">
                  <c:v>Yunanistan</c:v>
                </c:pt>
                <c:pt idx="7">
                  <c:v>İspanya</c:v>
                </c:pt>
                <c:pt idx="8">
                  <c:v>Hırvatsitan</c:v>
                </c:pt>
                <c:pt idx="9">
                  <c:v>Kıbrıs</c:v>
                </c:pt>
                <c:pt idx="10">
                  <c:v>Litvanya</c:v>
                </c:pt>
                <c:pt idx="11">
                  <c:v>Letonya</c:v>
                </c:pt>
                <c:pt idx="12">
                  <c:v>Lüksemburg</c:v>
                </c:pt>
                <c:pt idx="13">
                  <c:v>Macaristan</c:v>
                </c:pt>
                <c:pt idx="14">
                  <c:v>Malta</c:v>
                </c:pt>
                <c:pt idx="15">
                  <c:v>Hollanda</c:v>
                </c:pt>
                <c:pt idx="16">
                  <c:v>Avusturya</c:v>
                </c:pt>
                <c:pt idx="17">
                  <c:v>Polonya</c:v>
                </c:pt>
                <c:pt idx="18">
                  <c:v>Slovenya</c:v>
                </c:pt>
                <c:pt idx="19">
                  <c:v>Slovakya</c:v>
                </c:pt>
                <c:pt idx="20">
                  <c:v>Finlandiya</c:v>
                </c:pt>
                <c:pt idx="21">
                  <c:v>Norveç</c:v>
                </c:pt>
                <c:pt idx="22">
                  <c:v>İsviçre</c:v>
                </c:pt>
                <c:pt idx="23">
                  <c:v>İtalya</c:v>
                </c:pt>
                <c:pt idx="24">
                  <c:v>AB-27</c:v>
                </c:pt>
                <c:pt idx="25">
                  <c:v>İngiltere</c:v>
                </c:pt>
                <c:pt idx="26">
                  <c:v>Almanya</c:v>
                </c:pt>
                <c:pt idx="27">
                  <c:v>Romanya</c:v>
                </c:pt>
                <c:pt idx="28">
                  <c:v>Fransa</c:v>
                </c:pt>
                <c:pt idx="29">
                  <c:v>İsveç</c:v>
                </c:pt>
                <c:pt idx="30">
                  <c:v>Türkiye</c:v>
                </c:pt>
                <c:pt idx="31">
                  <c:v>Portekiz</c:v>
                </c:pt>
              </c:strCache>
            </c:strRef>
          </c:cat>
          <c:val>
            <c:numRef>
              <c:f>Data!$J$529:$J$560</c:f>
              <c:numCache>
                <c:formatCode>General</c:formatCode>
                <c:ptCount val="3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1.07</c:v>
                </c:pt>
                <c:pt idx="24">
                  <c:v>1.25</c:v>
                </c:pt>
                <c:pt idx="25">
                  <c:v>1.3</c:v>
                </c:pt>
                <c:pt idx="26">
                  <c:v>1.61</c:v>
                </c:pt>
                <c:pt idx="27">
                  <c:v>2.7</c:v>
                </c:pt>
                <c:pt idx="28">
                  <c:v>3.38</c:v>
                </c:pt>
                <c:pt idx="29">
                  <c:v>4.46</c:v>
                </c:pt>
                <c:pt idx="30">
                  <c:v>6.41</c:v>
                </c:pt>
                <c:pt idx="31">
                  <c:v>7.26</c:v>
                </c:pt>
              </c:numCache>
            </c:numRef>
          </c:val>
        </c:ser>
        <c:dLbls>
          <c:showLegendKey val="0"/>
          <c:showVal val="0"/>
          <c:showCatName val="0"/>
          <c:showSerName val="0"/>
          <c:showPercent val="0"/>
          <c:showBubbleSize val="0"/>
        </c:dLbls>
        <c:gapWidth val="150"/>
        <c:shape val="box"/>
        <c:axId val="371538000"/>
        <c:axId val="371536040"/>
        <c:axId val="0"/>
      </c:bar3DChart>
      <c:catAx>
        <c:axId val="371538000"/>
        <c:scaling>
          <c:orientation val="minMax"/>
        </c:scaling>
        <c:delete val="0"/>
        <c:axPos val="l"/>
        <c:numFmt formatCode="General" sourceLinked="0"/>
        <c:majorTickMark val="out"/>
        <c:minorTickMark val="none"/>
        <c:tickLblPos val="nextTo"/>
        <c:crossAx val="371536040"/>
        <c:crosses val="autoZero"/>
        <c:auto val="1"/>
        <c:lblAlgn val="ctr"/>
        <c:lblOffset val="100"/>
        <c:tickLblSkip val="1"/>
        <c:noMultiLvlLbl val="0"/>
      </c:catAx>
      <c:valAx>
        <c:axId val="371536040"/>
        <c:scaling>
          <c:orientation val="minMax"/>
        </c:scaling>
        <c:delete val="0"/>
        <c:axPos val="b"/>
        <c:majorGridlines/>
        <c:numFmt formatCode="General" sourceLinked="1"/>
        <c:majorTickMark val="out"/>
        <c:minorTickMark val="none"/>
        <c:tickLblPos val="nextTo"/>
        <c:crossAx val="37153800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sz="8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Data!$J$572:$J$604</c:f>
              <c:strCache>
                <c:ptCount val="33"/>
                <c:pt idx="0">
                  <c:v>İrlanda</c:v>
                </c:pt>
                <c:pt idx="1">
                  <c:v>Yunanistan</c:v>
                </c:pt>
                <c:pt idx="2">
                  <c:v>Hırvatsitan</c:v>
                </c:pt>
                <c:pt idx="3">
                  <c:v>Kıbrıs</c:v>
                </c:pt>
                <c:pt idx="4">
                  <c:v>Letonya</c:v>
                </c:pt>
                <c:pt idx="5">
                  <c:v>Lüksemburg</c:v>
                </c:pt>
                <c:pt idx="6">
                  <c:v>Macaristan</c:v>
                </c:pt>
                <c:pt idx="7">
                  <c:v>Malta</c:v>
                </c:pt>
                <c:pt idx="8">
                  <c:v>Hollanda</c:v>
                </c:pt>
                <c:pt idx="9">
                  <c:v>Avusturya</c:v>
                </c:pt>
                <c:pt idx="10">
                  <c:v>Portekiz</c:v>
                </c:pt>
                <c:pt idx="11">
                  <c:v>Romanya</c:v>
                </c:pt>
                <c:pt idx="12">
                  <c:v>Finlandiya</c:v>
                </c:pt>
                <c:pt idx="13">
                  <c:v>İsveç</c:v>
                </c:pt>
                <c:pt idx="14">
                  <c:v>İzlanda</c:v>
                </c:pt>
                <c:pt idx="15">
                  <c:v>Norveç</c:v>
                </c:pt>
                <c:pt idx="16">
                  <c:v>Polonya</c:v>
                </c:pt>
                <c:pt idx="17">
                  <c:v>İngiltere</c:v>
                </c:pt>
                <c:pt idx="18">
                  <c:v>Çek Cum.</c:v>
                </c:pt>
                <c:pt idx="19">
                  <c:v>Almanya</c:v>
                </c:pt>
                <c:pt idx="20">
                  <c:v>İspanya</c:v>
                </c:pt>
                <c:pt idx="21">
                  <c:v>AB-27</c:v>
                </c:pt>
                <c:pt idx="22">
                  <c:v>İsviçre</c:v>
                </c:pt>
                <c:pt idx="23">
                  <c:v>Danimarka</c:v>
                </c:pt>
                <c:pt idx="24">
                  <c:v>İtalya</c:v>
                </c:pt>
                <c:pt idx="25">
                  <c:v>Slovakya</c:v>
                </c:pt>
                <c:pt idx="26">
                  <c:v>Fransa</c:v>
                </c:pt>
                <c:pt idx="27">
                  <c:v>Belçika</c:v>
                </c:pt>
                <c:pt idx="28">
                  <c:v>Bulgaristan</c:v>
                </c:pt>
                <c:pt idx="29">
                  <c:v>Türkiye</c:v>
                </c:pt>
                <c:pt idx="30">
                  <c:v>Slovenya</c:v>
                </c:pt>
                <c:pt idx="31">
                  <c:v>Litvanya</c:v>
                </c:pt>
                <c:pt idx="32">
                  <c:v>Estonya</c:v>
                </c:pt>
              </c:strCache>
            </c:strRef>
          </c:cat>
          <c:val>
            <c:numRef>
              <c:f>Data!$K$572:$K$604</c:f>
              <c:numCache>
                <c:formatCode>#,##0</c:formatCode>
                <c:ptCount val="3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formatCode="General">
                  <c:v>0</c:v>
                </c:pt>
                <c:pt idx="15">
                  <c:v>0</c:v>
                </c:pt>
                <c:pt idx="16" formatCode="#,##0.00">
                  <c:v>0.77</c:v>
                </c:pt>
                <c:pt idx="17" formatCode="#,##0.00">
                  <c:v>0.78</c:v>
                </c:pt>
                <c:pt idx="18" formatCode="#,##0.00">
                  <c:v>0.85</c:v>
                </c:pt>
                <c:pt idx="19" formatCode="#,##0.00">
                  <c:v>0.87</c:v>
                </c:pt>
                <c:pt idx="20" formatCode="#,##0.00">
                  <c:v>1.01</c:v>
                </c:pt>
                <c:pt idx="21" formatCode="#,##0.0">
                  <c:v>1.2</c:v>
                </c:pt>
                <c:pt idx="22" formatCode="#,##0.00">
                  <c:v>1.31</c:v>
                </c:pt>
                <c:pt idx="23" formatCode="#,##0.00">
                  <c:v>1.57</c:v>
                </c:pt>
                <c:pt idx="24" formatCode="#,##0.0">
                  <c:v>1.9</c:v>
                </c:pt>
                <c:pt idx="25" formatCode="#,##0.0">
                  <c:v>1.9</c:v>
                </c:pt>
                <c:pt idx="26" formatCode="#,##0.00">
                  <c:v>2.66</c:v>
                </c:pt>
                <c:pt idx="27" formatCode="#,##0.00">
                  <c:v>2.78</c:v>
                </c:pt>
                <c:pt idx="28" formatCode="#,##0.00">
                  <c:v>6.23</c:v>
                </c:pt>
                <c:pt idx="29" formatCode="General">
                  <c:v>6.64</c:v>
                </c:pt>
                <c:pt idx="30" formatCode="#,##0.00">
                  <c:v>7.53</c:v>
                </c:pt>
                <c:pt idx="31">
                  <c:v>25</c:v>
                </c:pt>
                <c:pt idx="32" formatCode="#,##0.00">
                  <c:v>36.92</c:v>
                </c:pt>
              </c:numCache>
            </c:numRef>
          </c:val>
        </c:ser>
        <c:dLbls>
          <c:showLegendKey val="0"/>
          <c:showVal val="0"/>
          <c:showCatName val="0"/>
          <c:showSerName val="0"/>
          <c:showPercent val="0"/>
          <c:showBubbleSize val="0"/>
        </c:dLbls>
        <c:gapWidth val="150"/>
        <c:shape val="box"/>
        <c:axId val="371536432"/>
        <c:axId val="371550152"/>
        <c:axId val="0"/>
      </c:bar3DChart>
      <c:catAx>
        <c:axId val="371536432"/>
        <c:scaling>
          <c:orientation val="minMax"/>
        </c:scaling>
        <c:delete val="0"/>
        <c:axPos val="l"/>
        <c:numFmt formatCode="#,##0.00" sourceLinked="0"/>
        <c:majorTickMark val="out"/>
        <c:minorTickMark val="none"/>
        <c:tickLblPos val="nextTo"/>
        <c:txPr>
          <a:bodyPr/>
          <a:lstStyle/>
          <a:p>
            <a:pPr>
              <a:defRPr sz="800"/>
            </a:pPr>
            <a:endParaRPr lang="tr-TR"/>
          </a:p>
        </c:txPr>
        <c:crossAx val="371550152"/>
        <c:crosses val="autoZero"/>
        <c:auto val="1"/>
        <c:lblAlgn val="ctr"/>
        <c:lblOffset val="100"/>
        <c:tickLblSkip val="1"/>
        <c:noMultiLvlLbl val="0"/>
      </c:catAx>
      <c:valAx>
        <c:axId val="371550152"/>
        <c:scaling>
          <c:orientation val="minMax"/>
        </c:scaling>
        <c:delete val="0"/>
        <c:axPos val="b"/>
        <c:majorGridlines/>
        <c:numFmt formatCode="#,##0" sourceLinked="1"/>
        <c:majorTickMark val="out"/>
        <c:minorTickMark val="none"/>
        <c:tickLblPos val="nextTo"/>
        <c:crossAx val="371536432"/>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A9A3A-62F7-4B5A-AB47-585095E5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2171</Words>
  <Characters>12381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Sebo</dc:creator>
  <cp:lastModifiedBy>pc</cp:lastModifiedBy>
  <cp:revision>2</cp:revision>
  <cp:lastPrinted>2016-04-28T10:50:00Z</cp:lastPrinted>
  <dcterms:created xsi:type="dcterms:W3CDTF">2016-04-28T10:55:00Z</dcterms:created>
  <dcterms:modified xsi:type="dcterms:W3CDTF">2016-04-28T10:55:00Z</dcterms:modified>
</cp:coreProperties>
</file>