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790"/>
        <w:gridCol w:w="5140"/>
        <w:gridCol w:w="3112"/>
      </w:tblGrid>
      <w:tr w:rsidR="00E53167" w:rsidRPr="00CD5BF1">
        <w:trPr>
          <w:trHeight w:val="1559"/>
          <w:jc w:val="center"/>
        </w:trPr>
        <w:tc>
          <w:tcPr>
            <w:tcW w:w="5930" w:type="dxa"/>
            <w:gridSpan w:val="2"/>
            <w:vAlign w:val="center"/>
          </w:tcPr>
          <w:p w:rsidR="00E53167" w:rsidRPr="00CD5BF1" w:rsidRDefault="006C30C6" w:rsidP="00E53167">
            <w:pPr>
              <w:rPr>
                <w:rFonts w:ascii="Arial" w:hAnsi="Arial" w:cs="Arial"/>
              </w:rPr>
            </w:pPr>
            <w:r w:rsidRPr="00CD5BF1">
              <w:rPr>
                <w:rFonts w:ascii="Arial" w:hAnsi="Arial" w:cs="Arial"/>
                <w:noProof/>
                <w:lang w:val="tr-TR" w:eastAsia="tr-TR"/>
              </w:rPr>
              <w:drawing>
                <wp:inline distT="0" distB="0" distL="0" distR="0">
                  <wp:extent cx="1800225" cy="981075"/>
                  <wp:effectExtent l="0" t="0" r="9525" b="9525"/>
                  <wp:docPr id="1" name="Picture 1" descr="S_500_p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500_pt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225" cy="981075"/>
                          </a:xfrm>
                          <a:prstGeom prst="rect">
                            <a:avLst/>
                          </a:prstGeom>
                          <a:noFill/>
                          <a:ln>
                            <a:noFill/>
                          </a:ln>
                        </pic:spPr>
                      </pic:pic>
                    </a:graphicData>
                  </a:graphic>
                </wp:inline>
              </w:drawing>
            </w:r>
          </w:p>
        </w:tc>
        <w:tc>
          <w:tcPr>
            <w:tcW w:w="3112" w:type="dxa"/>
            <w:vAlign w:val="bottom"/>
          </w:tcPr>
          <w:p w:rsidR="00E53167" w:rsidRPr="00CD5BF1" w:rsidRDefault="00E53167" w:rsidP="00E53167">
            <w:pPr>
              <w:rPr>
                <w:rFonts w:ascii="Arial" w:hAnsi="Arial" w:cs="Arial"/>
              </w:rPr>
            </w:pPr>
          </w:p>
        </w:tc>
      </w:tr>
      <w:tr w:rsidR="00E53167" w:rsidRPr="00CD5BF1">
        <w:trPr>
          <w:trHeight w:val="484"/>
          <w:jc w:val="center"/>
        </w:trPr>
        <w:tc>
          <w:tcPr>
            <w:tcW w:w="790" w:type="dxa"/>
            <w:vAlign w:val="center"/>
          </w:tcPr>
          <w:p w:rsidR="00E53167" w:rsidRPr="00CD5BF1" w:rsidRDefault="00E53167" w:rsidP="00E53167">
            <w:pPr>
              <w:rPr>
                <w:rFonts w:ascii="Arial" w:hAnsi="Arial" w:cs="Arial"/>
              </w:rPr>
            </w:pPr>
          </w:p>
        </w:tc>
        <w:tc>
          <w:tcPr>
            <w:tcW w:w="5140" w:type="dxa"/>
            <w:vAlign w:val="center"/>
          </w:tcPr>
          <w:p w:rsidR="00E53167" w:rsidRPr="00CD5BF1" w:rsidRDefault="001220E1" w:rsidP="00E53167">
            <w:pPr>
              <w:pStyle w:val="PELeft"/>
              <w:rPr>
                <w:rStyle w:val="HideTWBExt"/>
                <w:noProof w:val="0"/>
                <w:vanish w:val="0"/>
                <w:color w:val="auto"/>
                <w:sz w:val="22"/>
                <w:lang w:val="en-GB"/>
              </w:rPr>
            </w:pPr>
            <w:r w:rsidRPr="00CD5BF1">
              <w:rPr>
                <w:lang w:val="en-GB"/>
              </w:rPr>
              <w:t>EUROPEAN PARLIAMENT</w:t>
            </w:r>
          </w:p>
        </w:tc>
        <w:tc>
          <w:tcPr>
            <w:tcW w:w="3112" w:type="dxa"/>
            <w:vAlign w:val="center"/>
          </w:tcPr>
          <w:p w:rsidR="00E53167" w:rsidRPr="00CD5BF1" w:rsidRDefault="00E53167" w:rsidP="00001F45">
            <w:pPr>
              <w:pStyle w:val="PERight"/>
              <w:rPr>
                <w:rStyle w:val="HideTWBExt"/>
                <w:noProof w:val="0"/>
                <w:vanish w:val="0"/>
                <w:color w:val="auto"/>
                <w:sz w:val="22"/>
                <w:lang w:val="en-GB"/>
              </w:rPr>
            </w:pPr>
            <w:r w:rsidRPr="00CD5BF1">
              <w:rPr>
                <w:rStyle w:val="HideTWBInt"/>
                <w:lang w:val="en-GB"/>
              </w:rPr>
              <w:t>(STD@_Legislature</w:t>
            </w:r>
            <w:r w:rsidR="008F3DA4" w:rsidRPr="00CD5BF1">
              <w:t>20</w:t>
            </w:r>
            <w:r w:rsidR="00001F45" w:rsidRPr="00CD5BF1">
              <w:t>14</w:t>
            </w:r>
            <w:r w:rsidR="008F3DA4" w:rsidRPr="00CD5BF1">
              <w:t xml:space="preserve"> - 201</w:t>
            </w:r>
            <w:r w:rsidR="00001F45" w:rsidRPr="00CD5BF1">
              <w:t>9</w:t>
            </w:r>
          </w:p>
        </w:tc>
      </w:tr>
    </w:tbl>
    <w:p w:rsidR="00E53167" w:rsidRPr="00CD5BF1" w:rsidRDefault="00E53167" w:rsidP="00E53167">
      <w:pPr>
        <w:pStyle w:val="LineTop"/>
        <w:rPr>
          <w:rFonts w:cs="Arial"/>
          <w:lang w:val="en-GB"/>
        </w:rPr>
      </w:pPr>
    </w:p>
    <w:p w:rsidR="00E53167" w:rsidRPr="00CD5BF1" w:rsidRDefault="001220E1" w:rsidP="00E53167">
      <w:pPr>
        <w:pStyle w:val="ZSessionDoc"/>
      </w:pPr>
      <w:r w:rsidRPr="00CD5BF1">
        <w:t>Session document</w:t>
      </w:r>
    </w:p>
    <w:p w:rsidR="00E53167" w:rsidRPr="00CD5BF1" w:rsidRDefault="00E53167" w:rsidP="00E53167">
      <w:pPr>
        <w:pStyle w:val="LineBottom"/>
        <w:rPr>
          <w:rFonts w:cs="Arial"/>
        </w:rPr>
      </w:pPr>
    </w:p>
    <w:p w:rsidR="00814BC6" w:rsidRPr="00CD5BF1" w:rsidRDefault="00D15074">
      <w:pPr>
        <w:pStyle w:val="ZDateRes"/>
        <w:rPr>
          <w:rFonts w:ascii="Arial" w:hAnsi="Arial" w:cs="Arial"/>
        </w:rPr>
      </w:pPr>
      <w:r>
        <w:rPr>
          <w:rStyle w:val="HideTWBExt"/>
          <w:rFonts w:cs="Arial"/>
          <w:noProof w:val="0"/>
          <w:vanish w:val="0"/>
          <w:color w:val="000000"/>
          <w:sz w:val="24"/>
          <w:szCs w:val="24"/>
        </w:rPr>
        <w:t>2</w:t>
      </w:r>
      <w:r w:rsidR="00CE599E">
        <w:rPr>
          <w:rStyle w:val="HideTWBExt"/>
          <w:rFonts w:cs="Arial"/>
          <w:noProof w:val="0"/>
          <w:vanish w:val="0"/>
          <w:color w:val="000000"/>
          <w:sz w:val="24"/>
          <w:szCs w:val="24"/>
        </w:rPr>
        <w:t>3</w:t>
      </w:r>
      <w:r w:rsidR="00356BD6">
        <w:rPr>
          <w:rStyle w:val="HideTWBExt"/>
          <w:rFonts w:cs="Arial"/>
          <w:noProof w:val="0"/>
          <w:vanish w:val="0"/>
          <w:color w:val="000000"/>
          <w:sz w:val="24"/>
          <w:szCs w:val="24"/>
        </w:rPr>
        <w:t>/11</w:t>
      </w:r>
      <w:r w:rsidR="000A405E">
        <w:rPr>
          <w:rStyle w:val="HideTWBExt"/>
          <w:rFonts w:cs="Arial"/>
          <w:noProof w:val="0"/>
          <w:vanish w:val="0"/>
          <w:color w:val="000000"/>
          <w:sz w:val="24"/>
          <w:szCs w:val="24"/>
        </w:rPr>
        <w:t>/2016</w:t>
      </w:r>
      <w:r w:rsidR="005D5589" w:rsidRPr="00CD5BF1">
        <w:rPr>
          <w:rFonts w:ascii="Arial" w:hAnsi="Arial" w:cs="Arial"/>
        </w:rPr>
        <w:tab/>
      </w:r>
    </w:p>
    <w:p w:rsidR="003B0877" w:rsidRPr="00CD5BF1" w:rsidRDefault="003B0877" w:rsidP="00016606">
      <w:pPr>
        <w:ind w:left="720" w:hanging="720"/>
        <w:jc w:val="both"/>
        <w:rPr>
          <w:rFonts w:ascii="Arial" w:hAnsi="Arial" w:cs="Arial"/>
          <w:szCs w:val="24"/>
        </w:rPr>
      </w:pPr>
    </w:p>
    <w:p w:rsidR="00764CA0" w:rsidRPr="00CD5BF1" w:rsidRDefault="0005226C" w:rsidP="00764CA0">
      <w:pPr>
        <w:pStyle w:val="TypeDoc"/>
        <w:rPr>
          <w:rFonts w:cs="Arial"/>
        </w:rPr>
      </w:pPr>
      <w:r>
        <w:rPr>
          <w:rStyle w:val="HideTWBExt"/>
          <w:rFonts w:cs="Arial"/>
          <w:noProof w:val="0"/>
          <w:vanish w:val="0"/>
          <w:color w:val="000000"/>
          <w:sz w:val="48"/>
          <w:szCs w:val="48"/>
        </w:rPr>
        <w:t xml:space="preserve">JOINT </w:t>
      </w:r>
      <w:r w:rsidR="00AD0510" w:rsidRPr="00CD5BF1">
        <w:rPr>
          <w:rStyle w:val="HideTWBExt"/>
          <w:rFonts w:cs="Arial"/>
          <w:noProof w:val="0"/>
          <w:vanish w:val="0"/>
          <w:color w:val="000000"/>
          <w:sz w:val="48"/>
          <w:szCs w:val="48"/>
        </w:rPr>
        <w:t>MOTION FOR A RESOLUTION</w:t>
      </w:r>
    </w:p>
    <w:p w:rsidR="005C06AD" w:rsidRPr="00CD5BF1" w:rsidRDefault="005C06AD" w:rsidP="008F6CB9">
      <w:pPr>
        <w:pStyle w:val="Cover12"/>
        <w:rPr>
          <w:rStyle w:val="HideTWBExt"/>
          <w:rFonts w:cs="Arial"/>
          <w:noProof w:val="0"/>
          <w:vanish w:val="0"/>
        </w:rPr>
      </w:pPr>
    </w:p>
    <w:p w:rsidR="005C06AD" w:rsidRPr="00CD5BF1" w:rsidRDefault="008F6CB9" w:rsidP="008F6CB9">
      <w:pPr>
        <w:pStyle w:val="Cover12"/>
        <w:rPr>
          <w:rFonts w:ascii="Arial" w:hAnsi="Arial" w:cs="Arial"/>
        </w:rPr>
      </w:pPr>
      <w:r w:rsidRPr="00CD5BF1">
        <w:rPr>
          <w:rFonts w:ascii="Arial" w:hAnsi="Arial" w:cs="Arial"/>
        </w:rPr>
        <w:t>pursuant to Rule 1</w:t>
      </w:r>
      <w:r w:rsidR="00131E47" w:rsidRPr="00CD5BF1">
        <w:rPr>
          <w:rFonts w:ascii="Arial" w:hAnsi="Arial" w:cs="Arial"/>
        </w:rPr>
        <w:t>23</w:t>
      </w:r>
      <w:r w:rsidRPr="00CD5BF1">
        <w:rPr>
          <w:rFonts w:ascii="Arial" w:hAnsi="Arial" w:cs="Arial"/>
        </w:rPr>
        <w:t xml:space="preserve"> of the Rules of Procedure</w:t>
      </w:r>
    </w:p>
    <w:p w:rsidR="00131E47" w:rsidRPr="00CD5BF1" w:rsidRDefault="00131E47" w:rsidP="00131E47">
      <w:pPr>
        <w:ind w:left="1418"/>
        <w:rPr>
          <w:rFonts w:ascii="Arial" w:hAnsi="Arial" w:cs="Arial"/>
          <w:b/>
          <w:szCs w:val="24"/>
        </w:rPr>
      </w:pPr>
    </w:p>
    <w:p w:rsidR="00131E47" w:rsidRPr="00CD5BF1" w:rsidRDefault="00131E47" w:rsidP="00131E47">
      <w:pPr>
        <w:ind w:left="1418"/>
        <w:rPr>
          <w:rFonts w:ascii="Arial" w:hAnsi="Arial" w:cs="Arial"/>
          <w:b/>
          <w:color w:val="000000"/>
          <w:szCs w:val="24"/>
        </w:rPr>
      </w:pPr>
      <w:r w:rsidRPr="00CD5BF1">
        <w:rPr>
          <w:rFonts w:ascii="Arial" w:hAnsi="Arial" w:cs="Arial"/>
          <w:b/>
          <w:szCs w:val="24"/>
        </w:rPr>
        <w:t xml:space="preserve">on </w:t>
      </w:r>
      <w:r w:rsidR="00356BD6">
        <w:rPr>
          <w:rFonts w:ascii="Arial" w:hAnsi="Arial" w:cs="Arial"/>
          <w:b/>
          <w:szCs w:val="24"/>
        </w:rPr>
        <w:t>EU-Turkey relations</w:t>
      </w:r>
    </w:p>
    <w:p w:rsidR="00131E47" w:rsidRPr="00CD5BF1" w:rsidRDefault="00131E47" w:rsidP="003764DB">
      <w:pPr>
        <w:pStyle w:val="Cover12"/>
        <w:jc w:val="both"/>
        <w:rPr>
          <w:rFonts w:ascii="Arial" w:hAnsi="Arial" w:cs="Arial"/>
        </w:rPr>
      </w:pPr>
    </w:p>
    <w:p w:rsidR="000A405E" w:rsidRDefault="00800760" w:rsidP="00356BD6">
      <w:pPr>
        <w:pStyle w:val="Cover12"/>
        <w:spacing w:after="0"/>
        <w:jc w:val="both"/>
        <w:rPr>
          <w:rFonts w:ascii="Arial" w:hAnsi="Arial" w:cs="Arial"/>
          <w:b/>
        </w:rPr>
      </w:pPr>
      <w:r w:rsidRPr="00CD5BF1">
        <w:rPr>
          <w:rFonts w:ascii="Arial" w:hAnsi="Arial" w:cs="Arial"/>
        </w:rPr>
        <w:t xml:space="preserve">by </w:t>
      </w:r>
      <w:r w:rsidR="00C75300">
        <w:rPr>
          <w:rFonts w:ascii="Arial" w:hAnsi="Arial" w:cs="Arial"/>
          <w:b/>
        </w:rPr>
        <w:t>...</w:t>
      </w:r>
    </w:p>
    <w:p w:rsidR="00356BD6" w:rsidRPr="00CD5BF1" w:rsidRDefault="00356BD6" w:rsidP="003764DB">
      <w:pPr>
        <w:pStyle w:val="Cover12"/>
        <w:jc w:val="both"/>
        <w:rPr>
          <w:rFonts w:ascii="Arial" w:hAnsi="Arial" w:cs="Arial"/>
          <w:b/>
        </w:rPr>
      </w:pPr>
    </w:p>
    <w:p w:rsidR="008F6CB9" w:rsidRPr="00CD5BF1" w:rsidRDefault="000751D8" w:rsidP="005C06AD">
      <w:pPr>
        <w:pStyle w:val="Cover12"/>
        <w:ind w:left="698" w:firstLine="720"/>
        <w:rPr>
          <w:rFonts w:ascii="Arial" w:hAnsi="Arial" w:cs="Arial"/>
        </w:rPr>
      </w:pPr>
      <w:r w:rsidRPr="00CD5BF1">
        <w:rPr>
          <w:rFonts w:ascii="Arial" w:hAnsi="Arial" w:cs="Arial"/>
        </w:rPr>
        <w:t>on behalf of</w:t>
      </w:r>
      <w:r w:rsidR="00836EDD" w:rsidRPr="00CD5BF1">
        <w:rPr>
          <w:rFonts w:ascii="Arial" w:hAnsi="Arial" w:cs="Arial"/>
        </w:rPr>
        <w:t xml:space="preserve"> </w:t>
      </w:r>
      <w:r w:rsidR="0005226C">
        <w:rPr>
          <w:rFonts w:ascii="Arial" w:hAnsi="Arial" w:cs="Arial"/>
        </w:rPr>
        <w:t xml:space="preserve">... </w:t>
      </w:r>
      <w:r w:rsidR="00836EDD" w:rsidRPr="00CD5BF1">
        <w:rPr>
          <w:rFonts w:ascii="Arial" w:hAnsi="Arial" w:cs="Arial"/>
        </w:rPr>
        <w:t>Group</w:t>
      </w:r>
    </w:p>
    <w:p w:rsidR="005C06AD" w:rsidRPr="00CD5BF1" w:rsidRDefault="005C06AD" w:rsidP="008F6CB9">
      <w:pPr>
        <w:pStyle w:val="CoverNormal"/>
        <w:rPr>
          <w:rStyle w:val="HideTWBExt"/>
          <w:rFonts w:cs="Arial"/>
          <w:noProof w:val="0"/>
          <w:vanish w:val="0"/>
        </w:rPr>
      </w:pPr>
    </w:p>
    <w:p w:rsidR="00336DF2" w:rsidRPr="00CD5BF1" w:rsidRDefault="00336DF2" w:rsidP="00336DF2">
      <w:pPr>
        <w:widowControl/>
        <w:rPr>
          <w:rFonts w:ascii="Arial" w:hAnsi="Arial" w:cs="Arial"/>
          <w:b/>
          <w:color w:val="000000"/>
          <w:szCs w:val="24"/>
        </w:rPr>
      </w:pPr>
    </w:p>
    <w:p w:rsidR="00CE0AC0" w:rsidRPr="00CD5BF1" w:rsidRDefault="00CE0AC0" w:rsidP="00CE0AC0">
      <w:pPr>
        <w:pStyle w:val="CoverNormal"/>
        <w:rPr>
          <w:rStyle w:val="HideTWBExt"/>
          <w:rFonts w:cs="Arial"/>
          <w:noProof w:val="0"/>
          <w:vanish w:val="0"/>
          <w:sz w:val="24"/>
          <w:szCs w:val="24"/>
        </w:rPr>
      </w:pPr>
    </w:p>
    <w:p w:rsidR="00537D0B" w:rsidRPr="000160D9" w:rsidRDefault="00356BD6" w:rsidP="000160D9">
      <w:pPr>
        <w:pStyle w:val="CoverNormal"/>
        <w:ind w:left="0"/>
        <w:rPr>
          <w:rFonts w:ascii="Arial" w:hAnsi="Arial" w:cs="Arial"/>
          <w:i/>
          <w:iCs/>
          <w:sz w:val="22"/>
          <w:szCs w:val="22"/>
        </w:rPr>
      </w:pPr>
      <w:r>
        <w:rPr>
          <w:rStyle w:val="HideTWBExt"/>
          <w:rFonts w:cs="Arial"/>
          <w:noProof w:val="0"/>
          <w:vanish w:val="0"/>
          <w:sz w:val="24"/>
          <w:szCs w:val="24"/>
        </w:rPr>
        <w:br w:type="page"/>
      </w:r>
      <w:r w:rsidR="00537D0B" w:rsidRPr="000160D9">
        <w:rPr>
          <w:rFonts w:ascii="Arial" w:hAnsi="Arial" w:cs="Arial"/>
          <w:i/>
          <w:iCs/>
          <w:sz w:val="22"/>
          <w:szCs w:val="22"/>
        </w:rPr>
        <w:lastRenderedPageBreak/>
        <w:t>The European Parliament</w:t>
      </w:r>
    </w:p>
    <w:p w:rsidR="00D929A8" w:rsidRPr="00CD5BF1" w:rsidRDefault="00D929A8" w:rsidP="00D93453">
      <w:pPr>
        <w:widowControl/>
        <w:jc w:val="both"/>
        <w:rPr>
          <w:rFonts w:ascii="Arial" w:hAnsi="Arial" w:cs="Arial"/>
          <w:szCs w:val="24"/>
        </w:rPr>
      </w:pPr>
    </w:p>
    <w:p w:rsidR="00356BD6" w:rsidRDefault="00356BD6" w:rsidP="00356BD6">
      <w:pPr>
        <w:pStyle w:val="Hanging12"/>
        <w:numPr>
          <w:ilvl w:val="0"/>
          <w:numId w:val="17"/>
        </w:numPr>
        <w:suppressLineNumbers/>
        <w:suppressAutoHyphens/>
        <w:jc w:val="both"/>
        <w:rPr>
          <w:sz w:val="22"/>
          <w:szCs w:val="22"/>
        </w:rPr>
      </w:pPr>
      <w:r w:rsidRPr="00EA25BC">
        <w:rPr>
          <w:sz w:val="22"/>
          <w:szCs w:val="22"/>
        </w:rPr>
        <w:t xml:space="preserve">having regard to its previous resolutions, </w:t>
      </w:r>
      <w:r w:rsidR="009C7D1A">
        <w:rPr>
          <w:sz w:val="22"/>
          <w:szCs w:val="22"/>
        </w:rPr>
        <w:t>in particular</w:t>
      </w:r>
      <w:r w:rsidRPr="00EA25BC">
        <w:rPr>
          <w:sz w:val="22"/>
          <w:szCs w:val="22"/>
        </w:rPr>
        <w:t xml:space="preserve"> the resolution on the situation of journalists in Turkey, adopted on 26 October 2016 and the resolution of 14 April 2016 on the </w:t>
      </w:r>
      <w:r>
        <w:rPr>
          <w:sz w:val="22"/>
          <w:szCs w:val="22"/>
        </w:rPr>
        <w:t>2015 Report on Turkey;</w:t>
      </w:r>
    </w:p>
    <w:p w:rsidR="00740ABF" w:rsidRDefault="00740ABF" w:rsidP="003677F5">
      <w:pPr>
        <w:pStyle w:val="ListeParagraf"/>
        <w:numPr>
          <w:ilvl w:val="0"/>
          <w:numId w:val="17"/>
        </w:numPr>
        <w:jc w:val="both"/>
        <w:rPr>
          <w:sz w:val="22"/>
          <w:szCs w:val="22"/>
        </w:rPr>
      </w:pPr>
      <w:r w:rsidRPr="00740ABF">
        <w:rPr>
          <w:sz w:val="22"/>
          <w:szCs w:val="22"/>
        </w:rPr>
        <w:t xml:space="preserve">having regard to the annual Turkey 2016 report, published by the Commission on 9 November 2016; </w:t>
      </w:r>
    </w:p>
    <w:p w:rsidR="00740ABF" w:rsidRPr="00740ABF" w:rsidRDefault="00740ABF" w:rsidP="00740ABF">
      <w:pPr>
        <w:pStyle w:val="ListeParagraf"/>
        <w:rPr>
          <w:sz w:val="22"/>
          <w:szCs w:val="22"/>
        </w:rPr>
      </w:pPr>
    </w:p>
    <w:p w:rsidR="008D45FB" w:rsidRPr="00EA25BC" w:rsidRDefault="008D45FB" w:rsidP="008D45FB">
      <w:pPr>
        <w:pStyle w:val="Hanging12"/>
        <w:numPr>
          <w:ilvl w:val="0"/>
          <w:numId w:val="17"/>
        </w:numPr>
        <w:suppressLineNumbers/>
        <w:suppressAutoHyphens/>
        <w:jc w:val="both"/>
        <w:rPr>
          <w:sz w:val="22"/>
          <w:szCs w:val="22"/>
        </w:rPr>
      </w:pPr>
      <w:r w:rsidRPr="00EA25BC">
        <w:rPr>
          <w:sz w:val="22"/>
          <w:szCs w:val="22"/>
        </w:rPr>
        <w:t xml:space="preserve">having regard to the EU Negotiation Framework </w:t>
      </w:r>
      <w:r>
        <w:rPr>
          <w:sz w:val="22"/>
          <w:szCs w:val="22"/>
        </w:rPr>
        <w:t xml:space="preserve">for Turkey from 3 October 2005;  </w:t>
      </w:r>
    </w:p>
    <w:p w:rsidR="00CF630A" w:rsidRDefault="00CF630A" w:rsidP="00CF630A">
      <w:pPr>
        <w:pStyle w:val="Hanging12"/>
        <w:numPr>
          <w:ilvl w:val="0"/>
          <w:numId w:val="17"/>
        </w:numPr>
        <w:suppressLineNumbers/>
        <w:suppressAutoHyphens/>
        <w:jc w:val="both"/>
        <w:rPr>
          <w:sz w:val="22"/>
          <w:szCs w:val="22"/>
        </w:rPr>
      </w:pPr>
      <w:r>
        <w:rPr>
          <w:sz w:val="22"/>
          <w:szCs w:val="22"/>
        </w:rPr>
        <w:t xml:space="preserve">having regard to the </w:t>
      </w:r>
      <w:r w:rsidR="00B92BB0">
        <w:rPr>
          <w:sz w:val="22"/>
          <w:szCs w:val="22"/>
        </w:rPr>
        <w:t xml:space="preserve">Council conclusion on Turkey </w:t>
      </w:r>
      <w:r>
        <w:rPr>
          <w:sz w:val="22"/>
          <w:szCs w:val="22"/>
        </w:rPr>
        <w:t>of 18 July 2016;</w:t>
      </w:r>
    </w:p>
    <w:p w:rsidR="008D45FB" w:rsidRDefault="008D45FB" w:rsidP="00C75300">
      <w:pPr>
        <w:pStyle w:val="Hanging12"/>
        <w:numPr>
          <w:ilvl w:val="0"/>
          <w:numId w:val="17"/>
        </w:numPr>
        <w:suppressLineNumbers/>
        <w:suppressAutoHyphens/>
        <w:jc w:val="both"/>
        <w:rPr>
          <w:sz w:val="22"/>
          <w:szCs w:val="22"/>
        </w:rPr>
      </w:pPr>
      <w:r w:rsidRPr="00EA25BC">
        <w:rPr>
          <w:sz w:val="22"/>
          <w:szCs w:val="22"/>
        </w:rPr>
        <w:t xml:space="preserve">having regard to </w:t>
      </w:r>
      <w:r w:rsidR="00C75300">
        <w:rPr>
          <w:sz w:val="22"/>
          <w:szCs w:val="22"/>
        </w:rPr>
        <w:t>regulation</w:t>
      </w:r>
      <w:r w:rsidR="00C75300" w:rsidRPr="00C75300">
        <w:rPr>
          <w:sz w:val="22"/>
          <w:szCs w:val="22"/>
        </w:rPr>
        <w:t xml:space="preserve"> (EU) No 231/2014 </w:t>
      </w:r>
      <w:r w:rsidR="00C75300">
        <w:rPr>
          <w:sz w:val="22"/>
          <w:szCs w:val="22"/>
        </w:rPr>
        <w:t>of the European Parliament and of the Council</w:t>
      </w:r>
      <w:r w:rsidR="00C75300" w:rsidRPr="00C75300">
        <w:rPr>
          <w:sz w:val="22"/>
          <w:szCs w:val="22"/>
        </w:rPr>
        <w:t xml:space="preserve"> of 11 March 2014 establishing an Instrument for Pre-accession Assistance (IPA II)</w:t>
      </w:r>
      <w:r w:rsidRPr="00EA25BC">
        <w:rPr>
          <w:sz w:val="22"/>
          <w:szCs w:val="22"/>
        </w:rPr>
        <w:t xml:space="preserve">; </w:t>
      </w:r>
    </w:p>
    <w:p w:rsidR="00AB7DAA" w:rsidRDefault="00AB7DAA" w:rsidP="00AB7DAA">
      <w:pPr>
        <w:pStyle w:val="Hanging12"/>
        <w:numPr>
          <w:ilvl w:val="0"/>
          <w:numId w:val="17"/>
        </w:numPr>
        <w:suppressLineNumbers/>
        <w:suppressAutoHyphens/>
        <w:jc w:val="both"/>
        <w:rPr>
          <w:sz w:val="22"/>
          <w:szCs w:val="22"/>
        </w:rPr>
      </w:pPr>
      <w:r w:rsidRPr="00AB7DAA">
        <w:rPr>
          <w:sz w:val="22"/>
          <w:szCs w:val="22"/>
        </w:rPr>
        <w:t>having regard to the right to freedom of expression enshrined in the European Convention on Human Rights (ECHR) and the International Covenant on Civil and Political Rights (ICCPR), t</w:t>
      </w:r>
      <w:r>
        <w:rPr>
          <w:sz w:val="22"/>
          <w:szCs w:val="22"/>
        </w:rPr>
        <w:t>o which Turkey is a state party;</w:t>
      </w:r>
    </w:p>
    <w:p w:rsidR="0050267C" w:rsidRDefault="0050267C" w:rsidP="0050267C">
      <w:pPr>
        <w:pStyle w:val="Hanging12"/>
        <w:numPr>
          <w:ilvl w:val="0"/>
          <w:numId w:val="17"/>
        </w:numPr>
        <w:suppressLineNumbers/>
        <w:suppressAutoHyphens/>
        <w:jc w:val="both"/>
        <w:rPr>
          <w:sz w:val="22"/>
          <w:szCs w:val="22"/>
        </w:rPr>
      </w:pPr>
      <w:r w:rsidRPr="0050267C">
        <w:rPr>
          <w:sz w:val="22"/>
          <w:szCs w:val="22"/>
        </w:rPr>
        <w:t xml:space="preserve">having regard to the </w:t>
      </w:r>
      <w:r>
        <w:rPr>
          <w:sz w:val="22"/>
          <w:szCs w:val="22"/>
        </w:rPr>
        <w:t>memos</w:t>
      </w:r>
      <w:r w:rsidRPr="0050267C">
        <w:rPr>
          <w:sz w:val="22"/>
          <w:szCs w:val="22"/>
        </w:rPr>
        <w:t xml:space="preserve"> by the Council of Europe Commissioner for Human Rights</w:t>
      </w:r>
      <w:r w:rsidR="00740ABF">
        <w:rPr>
          <w:sz w:val="22"/>
          <w:szCs w:val="22"/>
        </w:rPr>
        <w:t>;</w:t>
      </w:r>
    </w:p>
    <w:p w:rsidR="009C7D1A" w:rsidRPr="00EA25BC" w:rsidRDefault="009C7D1A" w:rsidP="009C7D1A">
      <w:pPr>
        <w:pStyle w:val="Hanging12"/>
        <w:numPr>
          <w:ilvl w:val="0"/>
          <w:numId w:val="17"/>
        </w:numPr>
        <w:suppressLineNumbers/>
        <w:suppressAutoHyphens/>
        <w:jc w:val="both"/>
        <w:rPr>
          <w:sz w:val="22"/>
          <w:szCs w:val="22"/>
        </w:rPr>
      </w:pPr>
      <w:r w:rsidRPr="009C7D1A">
        <w:rPr>
          <w:sz w:val="22"/>
          <w:szCs w:val="22"/>
        </w:rPr>
        <w:t>having regard to the statement of 26 July 2016 by the Commissioner for Human Rights of the Council of Europe on measures taken under the state of emergency in Turkey</w:t>
      </w:r>
      <w:r>
        <w:rPr>
          <w:sz w:val="22"/>
          <w:szCs w:val="22"/>
        </w:rPr>
        <w:t>;</w:t>
      </w:r>
    </w:p>
    <w:p w:rsidR="00356BD6" w:rsidRDefault="00356BD6" w:rsidP="00356BD6">
      <w:pPr>
        <w:pStyle w:val="Hanging12"/>
        <w:numPr>
          <w:ilvl w:val="0"/>
          <w:numId w:val="19"/>
        </w:numPr>
        <w:suppressLineNumbers/>
        <w:suppressAutoHyphens/>
        <w:jc w:val="both"/>
        <w:rPr>
          <w:sz w:val="22"/>
          <w:szCs w:val="22"/>
        </w:rPr>
      </w:pPr>
      <w:r>
        <w:rPr>
          <w:sz w:val="22"/>
          <w:szCs w:val="22"/>
        </w:rPr>
        <w:t xml:space="preserve">whereas the European Union and the European Parliament have strongly condemned the failed military coup </w:t>
      </w:r>
      <w:r w:rsidR="004C0FCE">
        <w:rPr>
          <w:sz w:val="22"/>
          <w:szCs w:val="22"/>
        </w:rPr>
        <w:t xml:space="preserve">attempt </w:t>
      </w:r>
      <w:r>
        <w:rPr>
          <w:sz w:val="22"/>
          <w:szCs w:val="22"/>
        </w:rPr>
        <w:t>in Turkey and recognised the legitimate responsibility of the Turkish authorities to prosecute those responsible and involved in this;</w:t>
      </w:r>
    </w:p>
    <w:p w:rsidR="009C7D1A" w:rsidRDefault="009C7D1A" w:rsidP="0050267C">
      <w:pPr>
        <w:numPr>
          <w:ilvl w:val="0"/>
          <w:numId w:val="19"/>
        </w:numPr>
        <w:jc w:val="both"/>
        <w:rPr>
          <w:sz w:val="22"/>
          <w:szCs w:val="22"/>
        </w:rPr>
      </w:pPr>
      <w:r>
        <w:rPr>
          <w:sz w:val="22"/>
          <w:szCs w:val="22"/>
        </w:rPr>
        <w:t>w</w:t>
      </w:r>
      <w:r w:rsidRPr="009C7D1A">
        <w:rPr>
          <w:sz w:val="22"/>
          <w:szCs w:val="22"/>
        </w:rPr>
        <w:t xml:space="preserve">hereas Turkey is an important partner </w:t>
      </w:r>
      <w:r w:rsidR="00740ABF">
        <w:rPr>
          <w:sz w:val="22"/>
          <w:szCs w:val="22"/>
        </w:rPr>
        <w:t>and</w:t>
      </w:r>
      <w:r w:rsidRPr="009C7D1A">
        <w:rPr>
          <w:sz w:val="22"/>
          <w:szCs w:val="22"/>
        </w:rPr>
        <w:t xml:space="preserve"> as a candidate country, is expected to uphold the highest standards of democracy, including the respect for human rights, the rule of law, fundamental freedoms and the </w:t>
      </w:r>
      <w:r w:rsidR="00740ABF">
        <w:rPr>
          <w:sz w:val="22"/>
          <w:szCs w:val="22"/>
        </w:rPr>
        <w:t xml:space="preserve">universal </w:t>
      </w:r>
      <w:r w:rsidRPr="009C7D1A">
        <w:rPr>
          <w:sz w:val="22"/>
          <w:szCs w:val="22"/>
        </w:rPr>
        <w:t>right of all to a fair trial</w:t>
      </w:r>
      <w:r w:rsidR="00740ABF">
        <w:rPr>
          <w:sz w:val="22"/>
          <w:szCs w:val="22"/>
        </w:rPr>
        <w:t>; whereas Turkey has been a member of the Council of Europe since 1950 and is therefore bound by the ECHR;</w:t>
      </w:r>
    </w:p>
    <w:p w:rsidR="009C7D1A" w:rsidRPr="009C7D1A" w:rsidRDefault="009C7D1A" w:rsidP="009C7D1A">
      <w:pPr>
        <w:ind w:left="720"/>
        <w:rPr>
          <w:sz w:val="22"/>
          <w:szCs w:val="22"/>
        </w:rPr>
      </w:pPr>
    </w:p>
    <w:p w:rsidR="00F42CC1" w:rsidRPr="009C7D1A" w:rsidRDefault="00AB7DAA" w:rsidP="00740ABF">
      <w:pPr>
        <w:numPr>
          <w:ilvl w:val="0"/>
          <w:numId w:val="19"/>
        </w:numPr>
        <w:jc w:val="both"/>
        <w:rPr>
          <w:sz w:val="22"/>
          <w:szCs w:val="22"/>
        </w:rPr>
      </w:pPr>
      <w:r w:rsidRPr="009C7D1A">
        <w:rPr>
          <w:sz w:val="22"/>
          <w:szCs w:val="22"/>
        </w:rPr>
        <w:t xml:space="preserve">whereas </w:t>
      </w:r>
      <w:r w:rsidR="00356BD6" w:rsidRPr="009C7D1A">
        <w:rPr>
          <w:sz w:val="22"/>
          <w:szCs w:val="22"/>
        </w:rPr>
        <w:t xml:space="preserve">the Turkish </w:t>
      </w:r>
      <w:r w:rsidR="0073497E" w:rsidRPr="009C7D1A">
        <w:rPr>
          <w:sz w:val="22"/>
          <w:szCs w:val="22"/>
        </w:rPr>
        <w:t>G</w:t>
      </w:r>
      <w:r w:rsidR="00356BD6" w:rsidRPr="009C7D1A">
        <w:rPr>
          <w:sz w:val="22"/>
          <w:szCs w:val="22"/>
        </w:rPr>
        <w:t xml:space="preserve">overnment’s repressive measures </w:t>
      </w:r>
      <w:r w:rsidR="002F0475" w:rsidRPr="009C7D1A">
        <w:rPr>
          <w:sz w:val="22"/>
          <w:szCs w:val="22"/>
        </w:rPr>
        <w:t xml:space="preserve">under the state of emergency </w:t>
      </w:r>
      <w:r w:rsidR="00F42CC1" w:rsidRPr="009C7D1A">
        <w:rPr>
          <w:sz w:val="22"/>
          <w:szCs w:val="22"/>
        </w:rPr>
        <w:t>are</w:t>
      </w:r>
      <w:r w:rsidR="0073497E" w:rsidRPr="009C7D1A">
        <w:rPr>
          <w:sz w:val="22"/>
          <w:szCs w:val="22"/>
        </w:rPr>
        <w:t xml:space="preserve"> disproportionate</w:t>
      </w:r>
      <w:r w:rsidR="00CD0FB1" w:rsidRPr="009C7D1A">
        <w:rPr>
          <w:sz w:val="22"/>
          <w:szCs w:val="22"/>
        </w:rPr>
        <w:t xml:space="preserve"> and </w:t>
      </w:r>
      <w:r w:rsidR="00740ABF">
        <w:rPr>
          <w:sz w:val="22"/>
          <w:szCs w:val="22"/>
        </w:rPr>
        <w:t>violate</w:t>
      </w:r>
      <w:r w:rsidR="00356BD6" w:rsidRPr="009C7D1A">
        <w:rPr>
          <w:sz w:val="22"/>
          <w:szCs w:val="22"/>
        </w:rPr>
        <w:t xml:space="preserve"> </w:t>
      </w:r>
      <w:r w:rsidR="00CD0FB1" w:rsidRPr="009C7D1A">
        <w:rPr>
          <w:sz w:val="22"/>
          <w:szCs w:val="22"/>
        </w:rPr>
        <w:t>basic rights and freedoms protected by the Turkish Constitution,</w:t>
      </w:r>
      <w:r w:rsidR="00CD0FB1" w:rsidRPr="00CD0FB1">
        <w:t xml:space="preserve"> </w:t>
      </w:r>
      <w:r w:rsidR="00740ABF">
        <w:t xml:space="preserve">are </w:t>
      </w:r>
      <w:r w:rsidR="00CD0FB1" w:rsidRPr="009C7D1A">
        <w:rPr>
          <w:sz w:val="22"/>
          <w:szCs w:val="22"/>
        </w:rPr>
        <w:t xml:space="preserve">in breach of </w:t>
      </w:r>
      <w:r w:rsidRPr="009C7D1A">
        <w:rPr>
          <w:sz w:val="22"/>
          <w:szCs w:val="22"/>
        </w:rPr>
        <w:t xml:space="preserve">democratic values upon which </w:t>
      </w:r>
      <w:r w:rsidR="00F42CC1" w:rsidRPr="009C7D1A">
        <w:rPr>
          <w:sz w:val="22"/>
          <w:szCs w:val="22"/>
        </w:rPr>
        <w:t xml:space="preserve">the European Union is founded </w:t>
      </w:r>
      <w:r w:rsidR="00356BD6" w:rsidRPr="009C7D1A">
        <w:rPr>
          <w:sz w:val="22"/>
          <w:szCs w:val="22"/>
        </w:rPr>
        <w:t xml:space="preserve">and </w:t>
      </w:r>
      <w:r w:rsidR="00740ABF">
        <w:rPr>
          <w:sz w:val="22"/>
          <w:szCs w:val="22"/>
        </w:rPr>
        <w:t>in breach of</w:t>
      </w:r>
      <w:r w:rsidR="00356BD6" w:rsidRPr="009C7D1A">
        <w:rPr>
          <w:sz w:val="22"/>
          <w:szCs w:val="22"/>
        </w:rPr>
        <w:t xml:space="preserve"> the International Coven</w:t>
      </w:r>
      <w:r w:rsidR="00C8626A" w:rsidRPr="009C7D1A">
        <w:rPr>
          <w:sz w:val="22"/>
          <w:szCs w:val="22"/>
        </w:rPr>
        <w:t xml:space="preserve">ant </w:t>
      </w:r>
      <w:r w:rsidR="00356BD6" w:rsidRPr="009C7D1A">
        <w:rPr>
          <w:sz w:val="22"/>
          <w:szCs w:val="22"/>
        </w:rPr>
        <w:t xml:space="preserve">on Civil and Political Rights; </w:t>
      </w:r>
      <w:r w:rsidR="00F42CC1" w:rsidRPr="009C7D1A">
        <w:rPr>
          <w:sz w:val="22"/>
          <w:szCs w:val="22"/>
        </w:rPr>
        <w:t xml:space="preserve">whereas since the coup the authorities have arrested 10 </w:t>
      </w:r>
      <w:r w:rsidR="00740ABF">
        <w:rPr>
          <w:sz w:val="22"/>
          <w:szCs w:val="22"/>
        </w:rPr>
        <w:t xml:space="preserve">opposition HDP </w:t>
      </w:r>
      <w:r w:rsidR="00F42CC1" w:rsidRPr="009C7D1A">
        <w:rPr>
          <w:sz w:val="22"/>
          <w:szCs w:val="22"/>
        </w:rPr>
        <w:t xml:space="preserve">members of the Turkish Grand National Assembly, some 150  journalists - the highest </w:t>
      </w:r>
      <w:r w:rsidR="00315AFF">
        <w:rPr>
          <w:sz w:val="22"/>
          <w:szCs w:val="22"/>
        </w:rPr>
        <w:t xml:space="preserve">number </w:t>
      </w:r>
      <w:r w:rsidR="00F42CC1" w:rsidRPr="009C7D1A">
        <w:rPr>
          <w:sz w:val="22"/>
          <w:szCs w:val="22"/>
        </w:rPr>
        <w:t xml:space="preserve">in the world, </w:t>
      </w:r>
      <w:r w:rsidR="00256414" w:rsidRPr="009C7D1A">
        <w:rPr>
          <w:sz w:val="22"/>
          <w:szCs w:val="22"/>
        </w:rPr>
        <w:t xml:space="preserve">2 386 judges-prosecutors </w:t>
      </w:r>
      <w:r w:rsidR="00F42CC1" w:rsidRPr="009C7D1A">
        <w:rPr>
          <w:sz w:val="22"/>
          <w:szCs w:val="22"/>
        </w:rPr>
        <w:t xml:space="preserve">and </w:t>
      </w:r>
      <w:r w:rsidR="00C57377" w:rsidRPr="009C7D1A">
        <w:rPr>
          <w:sz w:val="22"/>
          <w:szCs w:val="22"/>
        </w:rPr>
        <w:t>40 000 people have been detained and more than 31 000 remain under arrest, 129 000 public employees remain either suspended (66 000) or have been dismissed (63 000)</w:t>
      </w:r>
      <w:r w:rsidR="00740ABF">
        <w:rPr>
          <w:sz w:val="22"/>
          <w:szCs w:val="22"/>
        </w:rPr>
        <w:t>,</w:t>
      </w:r>
      <w:r w:rsidR="00740ABF" w:rsidRPr="00740ABF">
        <w:t xml:space="preserve"> </w:t>
      </w:r>
      <w:r w:rsidR="00740ABF" w:rsidRPr="00740ABF">
        <w:rPr>
          <w:sz w:val="22"/>
          <w:szCs w:val="22"/>
        </w:rPr>
        <w:t>according to the Commission Turkey 2016 report</w:t>
      </w:r>
      <w:r w:rsidR="00F42CC1" w:rsidRPr="009C7D1A">
        <w:rPr>
          <w:sz w:val="22"/>
          <w:szCs w:val="22"/>
        </w:rPr>
        <w:t>,</w:t>
      </w:r>
      <w:r w:rsidR="00740ABF">
        <w:rPr>
          <w:sz w:val="22"/>
          <w:szCs w:val="22"/>
        </w:rPr>
        <w:t xml:space="preserve"> and</w:t>
      </w:r>
      <w:r w:rsidR="00F42CC1" w:rsidRPr="009C7D1A">
        <w:rPr>
          <w:sz w:val="22"/>
          <w:szCs w:val="22"/>
        </w:rPr>
        <w:t xml:space="preserve"> most of whom have had no charges brought against them</w:t>
      </w:r>
      <w:r w:rsidR="003677F5">
        <w:rPr>
          <w:sz w:val="22"/>
          <w:szCs w:val="22"/>
        </w:rPr>
        <w:t xml:space="preserve"> to date</w:t>
      </w:r>
      <w:r w:rsidR="00F42CC1" w:rsidRPr="009C7D1A">
        <w:rPr>
          <w:sz w:val="22"/>
          <w:szCs w:val="22"/>
        </w:rPr>
        <w:t xml:space="preserve">; </w:t>
      </w:r>
    </w:p>
    <w:p w:rsidR="00356BD6" w:rsidRPr="00F42CC1" w:rsidRDefault="00356BD6" w:rsidP="00F42CC1">
      <w:pPr>
        <w:ind w:left="720"/>
        <w:rPr>
          <w:sz w:val="22"/>
          <w:szCs w:val="22"/>
        </w:rPr>
      </w:pPr>
      <w:r w:rsidRPr="00F42CC1">
        <w:rPr>
          <w:sz w:val="22"/>
          <w:szCs w:val="22"/>
        </w:rPr>
        <w:t xml:space="preserve">  </w:t>
      </w:r>
    </w:p>
    <w:p w:rsidR="00EA2FB6" w:rsidRDefault="00356BD6" w:rsidP="004C0FCE">
      <w:pPr>
        <w:pStyle w:val="Hanging12"/>
        <w:numPr>
          <w:ilvl w:val="0"/>
          <w:numId w:val="19"/>
        </w:numPr>
        <w:suppressLineNumbers/>
        <w:suppressAutoHyphens/>
        <w:jc w:val="both"/>
        <w:rPr>
          <w:sz w:val="22"/>
          <w:szCs w:val="22"/>
        </w:rPr>
      </w:pPr>
      <w:r w:rsidRPr="00EA25BC">
        <w:rPr>
          <w:sz w:val="22"/>
          <w:szCs w:val="22"/>
        </w:rPr>
        <w:t>wh</w:t>
      </w:r>
      <w:r w:rsidR="004C0FCE">
        <w:rPr>
          <w:sz w:val="22"/>
          <w:szCs w:val="22"/>
        </w:rPr>
        <w:t xml:space="preserve">ereas President Erdogan and Members of the </w:t>
      </w:r>
      <w:r w:rsidRPr="00EA25BC">
        <w:rPr>
          <w:sz w:val="22"/>
          <w:szCs w:val="22"/>
        </w:rPr>
        <w:t>Turkish government have made repeated statements on the re-introduction of the death penalty</w:t>
      </w:r>
      <w:r w:rsidR="00EA2FB6">
        <w:rPr>
          <w:sz w:val="22"/>
          <w:szCs w:val="22"/>
        </w:rPr>
        <w:t xml:space="preserve">; whereas </w:t>
      </w:r>
      <w:r w:rsidR="00B92BB0">
        <w:rPr>
          <w:sz w:val="22"/>
          <w:szCs w:val="22"/>
        </w:rPr>
        <w:t xml:space="preserve">the Council </w:t>
      </w:r>
      <w:r w:rsidR="00623C37">
        <w:rPr>
          <w:sz w:val="22"/>
          <w:szCs w:val="22"/>
        </w:rPr>
        <w:t xml:space="preserve">in its conclusions of 18 July 2016 on Turkey </w:t>
      </w:r>
      <w:r w:rsidR="00B92BB0">
        <w:rPr>
          <w:sz w:val="22"/>
          <w:szCs w:val="22"/>
        </w:rPr>
        <w:t>has re</w:t>
      </w:r>
      <w:r w:rsidR="008A1475">
        <w:rPr>
          <w:sz w:val="22"/>
          <w:szCs w:val="22"/>
        </w:rPr>
        <w:t>called</w:t>
      </w:r>
      <w:r w:rsidR="00B92BB0">
        <w:rPr>
          <w:sz w:val="22"/>
          <w:szCs w:val="22"/>
        </w:rPr>
        <w:t xml:space="preserve"> that the unequivocal rejection of the death penalty is an essential element of the Union acquis</w:t>
      </w:r>
      <w:r w:rsidR="00EA2FB6">
        <w:rPr>
          <w:sz w:val="22"/>
          <w:szCs w:val="22"/>
        </w:rPr>
        <w:t>;</w:t>
      </w:r>
    </w:p>
    <w:p w:rsidR="00356BD6" w:rsidRPr="004C0FCE" w:rsidRDefault="004C0FCE" w:rsidP="004C0FCE">
      <w:pPr>
        <w:pStyle w:val="Hanging12"/>
        <w:numPr>
          <w:ilvl w:val="0"/>
          <w:numId w:val="19"/>
        </w:numPr>
        <w:suppressLineNumbers/>
        <w:suppressAutoHyphens/>
        <w:jc w:val="both"/>
        <w:rPr>
          <w:sz w:val="22"/>
          <w:szCs w:val="22"/>
        </w:rPr>
      </w:pPr>
      <w:r w:rsidRPr="004C0FCE">
        <w:rPr>
          <w:sz w:val="22"/>
          <w:szCs w:val="22"/>
        </w:rPr>
        <w:t xml:space="preserve">whereas there are serious concerns over the conditions for those detained </w:t>
      </w:r>
      <w:r w:rsidR="00CE599E">
        <w:rPr>
          <w:sz w:val="22"/>
          <w:szCs w:val="22"/>
        </w:rPr>
        <w:t>and arrested following the coup</w:t>
      </w:r>
      <w:r w:rsidRPr="004C0FCE">
        <w:rPr>
          <w:sz w:val="22"/>
          <w:szCs w:val="22"/>
        </w:rPr>
        <w:t xml:space="preserve"> and over the severe restrictions in the freedom of expression and restrictions fo</w:t>
      </w:r>
      <w:r>
        <w:rPr>
          <w:sz w:val="22"/>
          <w:szCs w:val="22"/>
        </w:rPr>
        <w:t>r the press and media in Turkey</w:t>
      </w:r>
      <w:r w:rsidR="00413C40" w:rsidRPr="004C0FCE">
        <w:rPr>
          <w:sz w:val="22"/>
          <w:szCs w:val="22"/>
        </w:rPr>
        <w:t>;</w:t>
      </w:r>
    </w:p>
    <w:p w:rsidR="0050267C" w:rsidRPr="00D42907" w:rsidRDefault="004C0FCE" w:rsidP="004C0FCE">
      <w:pPr>
        <w:pStyle w:val="Hanging12"/>
        <w:numPr>
          <w:ilvl w:val="0"/>
          <w:numId w:val="19"/>
        </w:numPr>
        <w:suppressLineNumbers/>
        <w:suppressAutoHyphens/>
        <w:jc w:val="both"/>
        <w:rPr>
          <w:sz w:val="22"/>
          <w:szCs w:val="22"/>
        </w:rPr>
      </w:pPr>
      <w:bookmarkStart w:id="0" w:name="_GoBack"/>
      <w:r w:rsidRPr="00D42907">
        <w:rPr>
          <w:sz w:val="22"/>
          <w:szCs w:val="22"/>
        </w:rPr>
        <w:t>whereas paragraph 5 of the Negotiating Framework stipulates that in the case of a serious and persistent breach in Turkey of the principles of liberty, democracy, respect for human rights and fundamental freedoms and the rule of law on which the Union is founded, the Commission will, on its own initiative or on the request of one third of the Member States, recommend the suspension of negotiations and propose the conditions for eventual resumption</w:t>
      </w:r>
      <w:r w:rsidR="00413C40" w:rsidRPr="00D42907">
        <w:rPr>
          <w:sz w:val="22"/>
          <w:szCs w:val="22"/>
        </w:rPr>
        <w:t>;</w:t>
      </w:r>
    </w:p>
    <w:p w:rsidR="00356BD6" w:rsidRPr="00D42907" w:rsidRDefault="005E2A11" w:rsidP="005E2A11">
      <w:pPr>
        <w:pStyle w:val="Hanging12"/>
        <w:numPr>
          <w:ilvl w:val="0"/>
          <w:numId w:val="19"/>
        </w:numPr>
        <w:suppressLineNumbers/>
        <w:suppressAutoHyphens/>
        <w:jc w:val="both"/>
        <w:rPr>
          <w:sz w:val="22"/>
          <w:szCs w:val="22"/>
        </w:rPr>
      </w:pPr>
      <w:r w:rsidRPr="00D42907">
        <w:rPr>
          <w:sz w:val="22"/>
          <w:szCs w:val="22"/>
        </w:rPr>
        <w:lastRenderedPageBreak/>
        <w:t>whereas a temporary halt of negotiations would entail that the current talks would be frozen, no new chapters would be opened and no new initiatives would be undertaken in relation to Turkey’s EU Negotiation Framework;</w:t>
      </w:r>
      <w:r w:rsidR="003D665B" w:rsidRPr="00D42907">
        <w:rPr>
          <w:sz w:val="22"/>
          <w:szCs w:val="22"/>
        </w:rPr>
        <w:t xml:space="preserve"> </w:t>
      </w:r>
    </w:p>
    <w:bookmarkEnd w:id="0"/>
    <w:p w:rsidR="00AD1A5F" w:rsidRDefault="00AD1A5F" w:rsidP="00AD1A5F">
      <w:pPr>
        <w:numPr>
          <w:ilvl w:val="0"/>
          <w:numId w:val="20"/>
        </w:numPr>
        <w:jc w:val="both"/>
        <w:rPr>
          <w:bCs/>
          <w:sz w:val="22"/>
          <w:szCs w:val="22"/>
          <w:shd w:val="clear" w:color="auto" w:fill="FFFFFF"/>
        </w:rPr>
      </w:pPr>
      <w:r w:rsidRPr="00AD1A5F">
        <w:rPr>
          <w:bCs/>
          <w:sz w:val="22"/>
          <w:szCs w:val="22"/>
          <w:shd w:val="clear" w:color="auto" w:fill="FFFFFF"/>
        </w:rPr>
        <w:t xml:space="preserve">strongly condemns the disproportionate repressive measures taken in Turkey since the failed military coup attempt in July </w:t>
      </w:r>
      <w:r w:rsidR="005E2A11">
        <w:rPr>
          <w:bCs/>
          <w:sz w:val="22"/>
          <w:szCs w:val="22"/>
          <w:shd w:val="clear" w:color="auto" w:fill="FFFFFF"/>
        </w:rPr>
        <w:t>2016</w:t>
      </w:r>
      <w:r w:rsidRPr="00AD1A5F">
        <w:rPr>
          <w:bCs/>
          <w:sz w:val="22"/>
          <w:szCs w:val="22"/>
          <w:shd w:val="clear" w:color="auto" w:fill="FFFFFF"/>
        </w:rPr>
        <w:t xml:space="preserve">; remains committed to keep Turkey anchored to the EU; calls, however, on the Commission and on the Member States to initiate a temporary freeze of the on-going accession negotiations with Turkey; </w:t>
      </w:r>
    </w:p>
    <w:p w:rsidR="00AD1A5F" w:rsidRDefault="00AD1A5F" w:rsidP="00AD1A5F">
      <w:pPr>
        <w:ind w:left="720"/>
        <w:jc w:val="both"/>
        <w:rPr>
          <w:bCs/>
          <w:sz w:val="22"/>
          <w:szCs w:val="22"/>
          <w:shd w:val="clear" w:color="auto" w:fill="FFFFFF"/>
        </w:rPr>
      </w:pPr>
    </w:p>
    <w:p w:rsidR="003272CC" w:rsidRDefault="003272CC" w:rsidP="00315AFF">
      <w:pPr>
        <w:numPr>
          <w:ilvl w:val="0"/>
          <w:numId w:val="20"/>
        </w:numPr>
        <w:jc w:val="both"/>
        <w:rPr>
          <w:bCs/>
          <w:sz w:val="22"/>
          <w:szCs w:val="22"/>
          <w:shd w:val="clear" w:color="auto" w:fill="FFFFFF"/>
        </w:rPr>
      </w:pPr>
      <w:r w:rsidRPr="005E2A11">
        <w:rPr>
          <w:bCs/>
          <w:sz w:val="22"/>
          <w:szCs w:val="22"/>
          <w:shd w:val="clear" w:color="auto" w:fill="FFFFFF"/>
        </w:rPr>
        <w:t xml:space="preserve">commits to review its </w:t>
      </w:r>
      <w:r w:rsidR="00CD0FB1" w:rsidRPr="005E2A11">
        <w:rPr>
          <w:bCs/>
          <w:sz w:val="22"/>
          <w:szCs w:val="22"/>
          <w:shd w:val="clear" w:color="auto" w:fill="FFFFFF"/>
        </w:rPr>
        <w:t>posit</w:t>
      </w:r>
      <w:r w:rsidRPr="005E2A11">
        <w:rPr>
          <w:bCs/>
          <w:sz w:val="22"/>
          <w:szCs w:val="22"/>
          <w:shd w:val="clear" w:color="auto" w:fill="FFFFFF"/>
        </w:rPr>
        <w:t xml:space="preserve">ion when </w:t>
      </w:r>
      <w:r w:rsidR="005E2A11" w:rsidRPr="005E2A11">
        <w:rPr>
          <w:bCs/>
          <w:sz w:val="22"/>
          <w:szCs w:val="22"/>
          <w:shd w:val="clear" w:color="auto" w:fill="FFFFFF"/>
        </w:rPr>
        <w:t xml:space="preserve">the disproportionate measures under </w:t>
      </w:r>
      <w:r w:rsidRPr="005E2A11">
        <w:rPr>
          <w:bCs/>
          <w:sz w:val="22"/>
          <w:szCs w:val="22"/>
          <w:shd w:val="clear" w:color="auto" w:fill="FFFFFF"/>
        </w:rPr>
        <w:t xml:space="preserve">the state of emergency in Turkey </w:t>
      </w:r>
      <w:r w:rsidR="005E2A11" w:rsidRPr="005E2A11">
        <w:rPr>
          <w:bCs/>
          <w:sz w:val="22"/>
          <w:szCs w:val="22"/>
          <w:shd w:val="clear" w:color="auto" w:fill="FFFFFF"/>
        </w:rPr>
        <w:t>are</w:t>
      </w:r>
      <w:r w:rsidRPr="005E2A11">
        <w:rPr>
          <w:bCs/>
          <w:sz w:val="22"/>
          <w:szCs w:val="22"/>
          <w:shd w:val="clear" w:color="auto" w:fill="FFFFFF"/>
        </w:rPr>
        <w:t xml:space="preserve"> lifted</w:t>
      </w:r>
      <w:r w:rsidR="005E2A11">
        <w:rPr>
          <w:bCs/>
          <w:sz w:val="22"/>
          <w:szCs w:val="22"/>
          <w:shd w:val="clear" w:color="auto" w:fill="FFFFFF"/>
        </w:rPr>
        <w:t xml:space="preserve">; will base its review </w:t>
      </w:r>
      <w:r w:rsidR="00CE599E">
        <w:rPr>
          <w:bCs/>
          <w:sz w:val="22"/>
          <w:szCs w:val="22"/>
          <w:shd w:val="clear" w:color="auto" w:fill="FFFFFF"/>
        </w:rPr>
        <w:t xml:space="preserve">on </w:t>
      </w:r>
      <w:r w:rsidR="005E2A11">
        <w:rPr>
          <w:bCs/>
          <w:sz w:val="22"/>
          <w:szCs w:val="22"/>
          <w:shd w:val="clear" w:color="auto" w:fill="FFFFFF"/>
        </w:rPr>
        <w:t>whether the rule of law and human rights are restored throughout the country; considers a possible lifting of the state of emergency a</w:t>
      </w:r>
      <w:r w:rsidR="00CE599E">
        <w:rPr>
          <w:bCs/>
          <w:sz w:val="22"/>
          <w:szCs w:val="22"/>
          <w:shd w:val="clear" w:color="auto" w:fill="FFFFFF"/>
        </w:rPr>
        <w:t>n appropriate</w:t>
      </w:r>
      <w:r w:rsidR="005E2A11">
        <w:rPr>
          <w:bCs/>
          <w:sz w:val="22"/>
          <w:szCs w:val="22"/>
          <w:shd w:val="clear" w:color="auto" w:fill="FFFFFF"/>
        </w:rPr>
        <w:t xml:space="preserve"> moment </w:t>
      </w:r>
      <w:r w:rsidR="00315AFF" w:rsidRPr="00315AFF">
        <w:rPr>
          <w:bCs/>
          <w:sz w:val="22"/>
          <w:szCs w:val="22"/>
          <w:shd w:val="clear" w:color="auto" w:fill="FFFFFF"/>
        </w:rPr>
        <w:t>to initiate such a review</w:t>
      </w:r>
      <w:r w:rsidR="005E2A11">
        <w:rPr>
          <w:bCs/>
          <w:sz w:val="22"/>
          <w:szCs w:val="22"/>
          <w:shd w:val="clear" w:color="auto" w:fill="FFFFFF"/>
        </w:rPr>
        <w:t>;</w:t>
      </w:r>
      <w:r w:rsidR="00AD1A5F" w:rsidRPr="005E2A11">
        <w:rPr>
          <w:bCs/>
          <w:sz w:val="22"/>
          <w:szCs w:val="22"/>
          <w:shd w:val="clear" w:color="auto" w:fill="FFFFFF"/>
        </w:rPr>
        <w:t xml:space="preserve"> </w:t>
      </w:r>
    </w:p>
    <w:p w:rsidR="005E2A11" w:rsidRPr="005E2A11" w:rsidRDefault="005E2A11" w:rsidP="005E2A11">
      <w:pPr>
        <w:ind w:left="720"/>
        <w:jc w:val="both"/>
        <w:rPr>
          <w:bCs/>
          <w:sz w:val="22"/>
          <w:szCs w:val="22"/>
          <w:shd w:val="clear" w:color="auto" w:fill="FFFFFF"/>
        </w:rPr>
      </w:pPr>
    </w:p>
    <w:p w:rsidR="006A3DA2" w:rsidRDefault="00064B83" w:rsidP="00064B83">
      <w:pPr>
        <w:numPr>
          <w:ilvl w:val="0"/>
          <w:numId w:val="20"/>
        </w:numPr>
        <w:jc w:val="both"/>
        <w:rPr>
          <w:bCs/>
          <w:sz w:val="22"/>
          <w:szCs w:val="22"/>
          <w:shd w:val="clear" w:color="auto" w:fill="FFFFFF"/>
        </w:rPr>
      </w:pPr>
      <w:r>
        <w:rPr>
          <w:bCs/>
          <w:sz w:val="22"/>
          <w:szCs w:val="22"/>
          <w:shd w:val="clear" w:color="auto" w:fill="FFFFFF"/>
        </w:rPr>
        <w:t>reiterates</w:t>
      </w:r>
      <w:r w:rsidR="006A3DA2" w:rsidRPr="006A3DA2">
        <w:rPr>
          <w:bCs/>
          <w:sz w:val="22"/>
          <w:szCs w:val="22"/>
          <w:shd w:val="clear" w:color="auto" w:fill="FFFFFF"/>
        </w:rPr>
        <w:t xml:space="preserve"> that</w:t>
      </w:r>
      <w:r w:rsidR="0082596E">
        <w:rPr>
          <w:bCs/>
          <w:sz w:val="22"/>
          <w:szCs w:val="22"/>
          <w:shd w:val="clear" w:color="auto" w:fill="FFFFFF"/>
        </w:rPr>
        <w:t xml:space="preserve"> </w:t>
      </w:r>
      <w:r w:rsidR="006A3DA2" w:rsidRPr="006A3DA2">
        <w:rPr>
          <w:bCs/>
          <w:sz w:val="22"/>
          <w:szCs w:val="22"/>
          <w:shd w:val="clear" w:color="auto" w:fill="FFFFFF"/>
        </w:rPr>
        <w:t xml:space="preserve">re-introduction of the capital punishment </w:t>
      </w:r>
      <w:r w:rsidR="0060567D">
        <w:rPr>
          <w:bCs/>
          <w:sz w:val="22"/>
          <w:szCs w:val="22"/>
          <w:shd w:val="clear" w:color="auto" w:fill="FFFFFF"/>
        </w:rPr>
        <w:t>by the Turkish government</w:t>
      </w:r>
      <w:r w:rsidR="0082596E">
        <w:rPr>
          <w:bCs/>
          <w:sz w:val="22"/>
          <w:szCs w:val="22"/>
          <w:shd w:val="clear" w:color="auto" w:fill="FFFFFF"/>
        </w:rPr>
        <w:t xml:space="preserve"> </w:t>
      </w:r>
      <w:r w:rsidR="006A3DA2" w:rsidRPr="006A3DA2">
        <w:rPr>
          <w:bCs/>
          <w:sz w:val="22"/>
          <w:szCs w:val="22"/>
          <w:shd w:val="clear" w:color="auto" w:fill="FFFFFF"/>
        </w:rPr>
        <w:t xml:space="preserve">would </w:t>
      </w:r>
      <w:r w:rsidR="005E2A11">
        <w:rPr>
          <w:bCs/>
          <w:sz w:val="22"/>
          <w:szCs w:val="22"/>
          <w:shd w:val="clear" w:color="auto" w:fill="FFFFFF"/>
        </w:rPr>
        <w:t xml:space="preserve">have to </w:t>
      </w:r>
      <w:r w:rsidR="006A3DA2" w:rsidRPr="006A3DA2">
        <w:rPr>
          <w:bCs/>
          <w:sz w:val="22"/>
          <w:szCs w:val="22"/>
          <w:shd w:val="clear" w:color="auto" w:fill="FFFFFF"/>
        </w:rPr>
        <w:t xml:space="preserve">lead to a </w:t>
      </w:r>
      <w:r>
        <w:rPr>
          <w:bCs/>
          <w:sz w:val="22"/>
          <w:szCs w:val="22"/>
          <w:shd w:val="clear" w:color="auto" w:fill="FFFFFF"/>
        </w:rPr>
        <w:t xml:space="preserve">formal </w:t>
      </w:r>
      <w:r w:rsidR="006A3DA2" w:rsidRPr="006A3DA2">
        <w:rPr>
          <w:bCs/>
          <w:sz w:val="22"/>
          <w:szCs w:val="22"/>
          <w:shd w:val="clear" w:color="auto" w:fill="FFFFFF"/>
        </w:rPr>
        <w:t xml:space="preserve">suspension of the </w:t>
      </w:r>
      <w:r w:rsidR="0060567D">
        <w:rPr>
          <w:bCs/>
          <w:sz w:val="22"/>
          <w:szCs w:val="22"/>
          <w:shd w:val="clear" w:color="auto" w:fill="FFFFFF"/>
        </w:rPr>
        <w:t>accession process</w:t>
      </w:r>
      <w:r w:rsidR="006A3DA2" w:rsidRPr="006A3DA2">
        <w:rPr>
          <w:bCs/>
          <w:sz w:val="22"/>
          <w:szCs w:val="22"/>
          <w:shd w:val="clear" w:color="auto" w:fill="FFFFFF"/>
        </w:rPr>
        <w:t xml:space="preserve">; </w:t>
      </w:r>
    </w:p>
    <w:p w:rsidR="006A3DA2" w:rsidRPr="006A3DA2" w:rsidRDefault="006A3DA2" w:rsidP="006A3DA2">
      <w:pPr>
        <w:ind w:left="720"/>
        <w:rPr>
          <w:bCs/>
          <w:sz w:val="22"/>
          <w:szCs w:val="22"/>
          <w:shd w:val="clear" w:color="auto" w:fill="FFFFFF"/>
        </w:rPr>
      </w:pPr>
    </w:p>
    <w:p w:rsidR="00356BD6" w:rsidRPr="0082596E" w:rsidRDefault="00AD1A5F" w:rsidP="0082596E">
      <w:pPr>
        <w:pStyle w:val="Hanging12"/>
        <w:numPr>
          <w:ilvl w:val="0"/>
          <w:numId w:val="20"/>
        </w:numPr>
        <w:suppressLineNumbers/>
        <w:suppressAutoHyphens/>
        <w:jc w:val="both"/>
        <w:rPr>
          <w:bCs/>
          <w:sz w:val="22"/>
          <w:szCs w:val="22"/>
          <w:shd w:val="clear" w:color="auto" w:fill="FFFFFF"/>
        </w:rPr>
      </w:pPr>
      <w:r>
        <w:rPr>
          <w:bCs/>
          <w:sz w:val="22"/>
          <w:szCs w:val="22"/>
          <w:shd w:val="clear" w:color="auto" w:fill="FFFFFF"/>
        </w:rPr>
        <w:t>notes that to date Turkey has not fulfilled 7 out of 72 benchmarks of the visa liberalisation roadmap, some of which are</w:t>
      </w:r>
      <w:r w:rsidR="005E2A11">
        <w:rPr>
          <w:bCs/>
          <w:sz w:val="22"/>
          <w:szCs w:val="22"/>
          <w:shd w:val="clear" w:color="auto" w:fill="FFFFFF"/>
        </w:rPr>
        <w:t xml:space="preserve"> of particular importance</w:t>
      </w:r>
      <w:r>
        <w:rPr>
          <w:bCs/>
          <w:sz w:val="22"/>
          <w:szCs w:val="22"/>
          <w:shd w:val="clear" w:color="auto" w:fill="FFFFFF"/>
        </w:rPr>
        <w:t xml:space="preserve">; </w:t>
      </w:r>
    </w:p>
    <w:p w:rsidR="005E2A11" w:rsidRDefault="00E749EE" w:rsidP="005E2A11">
      <w:pPr>
        <w:pStyle w:val="Hanging12"/>
        <w:numPr>
          <w:ilvl w:val="0"/>
          <w:numId w:val="20"/>
        </w:numPr>
        <w:suppressLineNumbers/>
        <w:suppressAutoHyphens/>
        <w:jc w:val="both"/>
        <w:rPr>
          <w:bCs/>
          <w:sz w:val="22"/>
          <w:szCs w:val="22"/>
          <w:shd w:val="clear" w:color="auto" w:fill="FFFFFF"/>
        </w:rPr>
      </w:pPr>
      <w:r>
        <w:rPr>
          <w:bCs/>
          <w:sz w:val="22"/>
          <w:szCs w:val="22"/>
          <w:shd w:val="clear" w:color="auto" w:fill="FFFFFF"/>
        </w:rPr>
        <w:t>n</w:t>
      </w:r>
      <w:r w:rsidR="005E2A11" w:rsidRPr="005E2A11">
        <w:rPr>
          <w:bCs/>
          <w:sz w:val="22"/>
          <w:szCs w:val="22"/>
          <w:shd w:val="clear" w:color="auto" w:fill="FFFFFF"/>
        </w:rPr>
        <w:t xml:space="preserve">otes that </w:t>
      </w:r>
      <w:r w:rsidR="005E2A11">
        <w:rPr>
          <w:bCs/>
          <w:sz w:val="22"/>
          <w:szCs w:val="22"/>
          <w:shd w:val="clear" w:color="auto" w:fill="FFFFFF"/>
        </w:rPr>
        <w:t>upgrading</w:t>
      </w:r>
      <w:r w:rsidR="005E2A11" w:rsidRPr="005E2A11">
        <w:rPr>
          <w:bCs/>
          <w:sz w:val="22"/>
          <w:szCs w:val="22"/>
          <w:shd w:val="clear" w:color="auto" w:fill="FFFFFF"/>
        </w:rPr>
        <w:t xml:space="preserve"> the customs union is important for Turkey; stresses that suspending work on </w:t>
      </w:r>
      <w:r w:rsidR="005E2A11">
        <w:rPr>
          <w:bCs/>
          <w:sz w:val="22"/>
          <w:szCs w:val="22"/>
          <w:shd w:val="clear" w:color="auto" w:fill="FFFFFF"/>
        </w:rPr>
        <w:t>upgrading the customs union would have</w:t>
      </w:r>
      <w:r w:rsidR="005E2A11" w:rsidRPr="005E2A11">
        <w:rPr>
          <w:bCs/>
          <w:sz w:val="22"/>
          <w:szCs w:val="22"/>
          <w:shd w:val="clear" w:color="auto" w:fill="FFFFFF"/>
        </w:rPr>
        <w:t xml:space="preserve"> serious economic consequences for the country;</w:t>
      </w:r>
    </w:p>
    <w:p w:rsidR="004E1E57" w:rsidRDefault="004E1E57" w:rsidP="00064B83">
      <w:pPr>
        <w:pStyle w:val="Hanging12"/>
        <w:numPr>
          <w:ilvl w:val="0"/>
          <w:numId w:val="20"/>
        </w:numPr>
        <w:suppressLineNumbers/>
        <w:suppressAutoHyphens/>
        <w:jc w:val="both"/>
        <w:rPr>
          <w:bCs/>
          <w:sz w:val="22"/>
          <w:szCs w:val="22"/>
          <w:shd w:val="clear" w:color="auto" w:fill="FFFFFF"/>
        </w:rPr>
      </w:pPr>
      <w:r>
        <w:rPr>
          <w:bCs/>
          <w:sz w:val="22"/>
          <w:szCs w:val="22"/>
          <w:shd w:val="clear" w:color="auto" w:fill="FFFFFF"/>
        </w:rPr>
        <w:t>calls on the Commission to reflect on the latest developments in Turkey in the mid-term review</w:t>
      </w:r>
      <w:r w:rsidR="005E2A11">
        <w:rPr>
          <w:bCs/>
          <w:sz w:val="22"/>
          <w:szCs w:val="22"/>
          <w:shd w:val="clear" w:color="auto" w:fill="FFFFFF"/>
        </w:rPr>
        <w:t xml:space="preserve"> report of IPA foreseen in 2017; asks the Commission to examine the possibility of increasing support to Turkish civil society from </w:t>
      </w:r>
      <w:r w:rsidR="00E749EE">
        <w:rPr>
          <w:bCs/>
          <w:sz w:val="22"/>
          <w:szCs w:val="22"/>
          <w:shd w:val="clear" w:color="auto" w:fill="FFFFFF"/>
        </w:rPr>
        <w:t xml:space="preserve">the </w:t>
      </w:r>
      <w:r w:rsidR="005E2A11">
        <w:rPr>
          <w:bCs/>
          <w:sz w:val="22"/>
          <w:szCs w:val="22"/>
          <w:shd w:val="clear" w:color="auto" w:fill="FFFFFF"/>
        </w:rPr>
        <w:t xml:space="preserve">European Instrument for </w:t>
      </w:r>
      <w:r w:rsidR="00570880">
        <w:rPr>
          <w:bCs/>
          <w:sz w:val="22"/>
          <w:szCs w:val="22"/>
          <w:shd w:val="clear" w:color="auto" w:fill="FFFFFF"/>
        </w:rPr>
        <w:t xml:space="preserve">Democracy and </w:t>
      </w:r>
      <w:r w:rsidR="005E2A11">
        <w:rPr>
          <w:bCs/>
          <w:sz w:val="22"/>
          <w:szCs w:val="22"/>
          <w:shd w:val="clear" w:color="auto" w:fill="FFFFFF"/>
        </w:rPr>
        <w:t>Human Rights;</w:t>
      </w:r>
    </w:p>
    <w:p w:rsidR="00B26893" w:rsidRPr="00B26893" w:rsidRDefault="00B26893" w:rsidP="00B26893">
      <w:pPr>
        <w:numPr>
          <w:ilvl w:val="0"/>
          <w:numId w:val="20"/>
        </w:numPr>
        <w:rPr>
          <w:bCs/>
          <w:sz w:val="22"/>
          <w:szCs w:val="22"/>
          <w:shd w:val="clear" w:color="auto" w:fill="FFFFFF"/>
        </w:rPr>
      </w:pPr>
      <w:r w:rsidRPr="00B26893">
        <w:rPr>
          <w:bCs/>
          <w:sz w:val="22"/>
          <w:szCs w:val="22"/>
          <w:shd w:val="clear" w:color="auto" w:fill="FFFFFF"/>
        </w:rPr>
        <w:t>encourages the</w:t>
      </w:r>
      <w:r w:rsidR="00570880">
        <w:rPr>
          <w:bCs/>
          <w:sz w:val="22"/>
          <w:szCs w:val="22"/>
          <w:shd w:val="clear" w:color="auto" w:fill="FFFFFF"/>
        </w:rPr>
        <w:t xml:space="preserve"> European </w:t>
      </w:r>
      <w:r w:rsidRPr="00B26893">
        <w:rPr>
          <w:bCs/>
          <w:sz w:val="22"/>
          <w:szCs w:val="22"/>
          <w:shd w:val="clear" w:color="auto" w:fill="FFFFFF"/>
        </w:rPr>
        <w:t>Commission, the Council of Europe and the Venice Commission to offer additional judicial assistance to the Turkish authorities</w:t>
      </w:r>
      <w:r w:rsidR="00570880">
        <w:rPr>
          <w:bCs/>
          <w:sz w:val="22"/>
          <w:szCs w:val="22"/>
          <w:shd w:val="clear" w:color="auto" w:fill="FFFFFF"/>
        </w:rPr>
        <w:t>;</w:t>
      </w:r>
    </w:p>
    <w:p w:rsidR="00B26893" w:rsidRDefault="00B26893" w:rsidP="00B26893">
      <w:pPr>
        <w:ind w:left="720"/>
        <w:rPr>
          <w:bCs/>
          <w:sz w:val="22"/>
          <w:szCs w:val="22"/>
          <w:shd w:val="clear" w:color="auto" w:fill="FFFFFF"/>
        </w:rPr>
      </w:pPr>
    </w:p>
    <w:p w:rsidR="00B26893" w:rsidRDefault="00B26893" w:rsidP="00B26893">
      <w:pPr>
        <w:numPr>
          <w:ilvl w:val="0"/>
          <w:numId w:val="20"/>
        </w:numPr>
        <w:rPr>
          <w:bCs/>
          <w:sz w:val="22"/>
          <w:szCs w:val="22"/>
          <w:shd w:val="clear" w:color="auto" w:fill="FFFFFF"/>
        </w:rPr>
      </w:pPr>
      <w:r>
        <w:rPr>
          <w:bCs/>
          <w:sz w:val="22"/>
          <w:szCs w:val="22"/>
          <w:shd w:val="clear" w:color="auto" w:fill="FFFFFF"/>
        </w:rPr>
        <w:t>underlines the strategic importance of EU-Turkey</w:t>
      </w:r>
      <w:r w:rsidR="00D22338">
        <w:rPr>
          <w:bCs/>
          <w:sz w:val="22"/>
          <w:szCs w:val="22"/>
          <w:shd w:val="clear" w:color="auto" w:fill="FFFFFF"/>
        </w:rPr>
        <w:t xml:space="preserve"> relations for both sides</w:t>
      </w:r>
      <w:r>
        <w:rPr>
          <w:bCs/>
          <w:sz w:val="22"/>
          <w:szCs w:val="22"/>
          <w:shd w:val="clear" w:color="auto" w:fill="FFFFFF"/>
        </w:rPr>
        <w:t>; r</w:t>
      </w:r>
      <w:r w:rsidRPr="00B26893">
        <w:rPr>
          <w:bCs/>
          <w:sz w:val="22"/>
          <w:szCs w:val="22"/>
          <w:shd w:val="clear" w:color="auto" w:fill="FFFFFF"/>
        </w:rPr>
        <w:t>ecognises that Turkey is an important partner of the EU but observes that, in partnerships, the will to cooperate has to be two-sided; believes that Turkey is not showing this political will as government’s action are further averting Turkey from its European path</w:t>
      </w:r>
      <w:r>
        <w:rPr>
          <w:bCs/>
          <w:sz w:val="22"/>
          <w:szCs w:val="22"/>
          <w:shd w:val="clear" w:color="auto" w:fill="FFFFFF"/>
        </w:rPr>
        <w:t>;</w:t>
      </w:r>
    </w:p>
    <w:p w:rsidR="00B26893" w:rsidRPr="00B26893" w:rsidRDefault="00B26893" w:rsidP="00D22338">
      <w:pPr>
        <w:rPr>
          <w:bCs/>
          <w:sz w:val="22"/>
          <w:szCs w:val="22"/>
          <w:shd w:val="clear" w:color="auto" w:fill="FFFFFF"/>
        </w:rPr>
      </w:pPr>
    </w:p>
    <w:p w:rsidR="0016565F" w:rsidRPr="008F3060" w:rsidRDefault="00570880" w:rsidP="00570880">
      <w:pPr>
        <w:pStyle w:val="Hanging12"/>
        <w:numPr>
          <w:ilvl w:val="0"/>
          <w:numId w:val="20"/>
        </w:numPr>
        <w:suppressLineNumbers/>
        <w:suppressAutoHyphens/>
        <w:jc w:val="both"/>
        <w:rPr>
          <w:bCs/>
          <w:sz w:val="22"/>
          <w:szCs w:val="22"/>
          <w:shd w:val="clear" w:color="auto" w:fill="FFFFFF"/>
        </w:rPr>
      </w:pPr>
      <w:r>
        <w:rPr>
          <w:bCs/>
          <w:sz w:val="22"/>
          <w:szCs w:val="22"/>
          <w:shd w:val="clear" w:color="auto" w:fill="FFFFFF"/>
        </w:rPr>
        <w:t>i</w:t>
      </w:r>
      <w:r w:rsidRPr="00570880">
        <w:rPr>
          <w:bCs/>
          <w:sz w:val="22"/>
          <w:szCs w:val="22"/>
          <w:shd w:val="clear" w:color="auto" w:fill="FFFFFF"/>
        </w:rPr>
        <w:t>nstructs its President to forward this resolution to the VP/HR, the Commission, the Council, the Member States, the Government and Parliament of Turkey.</w:t>
      </w:r>
    </w:p>
    <w:sectPr w:rsidR="0016565F" w:rsidRPr="008F3060" w:rsidSect="00E4306A">
      <w:footerReference w:type="even" r:id="rId8"/>
      <w:footerReference w:type="default" r:id="rId9"/>
      <w:footerReference w:type="first" r:id="rId10"/>
      <w:footnotePr>
        <w:numRestart w:val="eachPage"/>
      </w:footnotePr>
      <w:endnotePr>
        <w:numFmt w:val="decimal"/>
      </w:endnotePr>
      <w:pgSz w:w="11906" w:h="16838"/>
      <w:pgMar w:top="851" w:right="1418" w:bottom="851" w:left="1134" w:header="1134" w:footer="28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760" w:rsidRPr="001220E1" w:rsidRDefault="00900760">
      <w:r w:rsidRPr="001220E1">
        <w:separator/>
      </w:r>
    </w:p>
  </w:endnote>
  <w:endnote w:type="continuationSeparator" w:id="0">
    <w:p w:rsidR="00900760" w:rsidRPr="001220E1" w:rsidRDefault="00900760">
      <w:r w:rsidRPr="001220E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662" w:rsidRPr="001220E1" w:rsidRDefault="00777662" w:rsidP="00C735E4">
    <w:pPr>
      <w:pStyle w:val="AltBilgi"/>
      <w:tabs>
        <w:tab w:val="right" w:pos="935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662" w:rsidRPr="006F7C0F" w:rsidRDefault="00777662" w:rsidP="00C84A97">
    <w:pPr>
      <w:pStyle w:val="AltBilgi"/>
      <w:framePr w:wrap="around" w:vAnchor="text" w:hAnchor="margin" w:xAlign="center" w:y="1"/>
      <w:rPr>
        <w:rStyle w:val="SayfaNumaras"/>
        <w:sz w:val="24"/>
        <w:szCs w:val="24"/>
      </w:rPr>
    </w:pPr>
    <w:r w:rsidRPr="006F7C0F">
      <w:rPr>
        <w:rStyle w:val="SayfaNumaras"/>
        <w:sz w:val="24"/>
        <w:szCs w:val="24"/>
      </w:rPr>
      <w:fldChar w:fldCharType="begin"/>
    </w:r>
    <w:r w:rsidRPr="006F7C0F">
      <w:rPr>
        <w:rStyle w:val="SayfaNumaras"/>
        <w:sz w:val="24"/>
        <w:szCs w:val="24"/>
      </w:rPr>
      <w:instrText xml:space="preserve">PAGE  </w:instrText>
    </w:r>
    <w:r w:rsidRPr="006F7C0F">
      <w:rPr>
        <w:rStyle w:val="SayfaNumaras"/>
        <w:sz w:val="24"/>
        <w:szCs w:val="24"/>
      </w:rPr>
      <w:fldChar w:fldCharType="separate"/>
    </w:r>
    <w:r w:rsidR="00D42907">
      <w:rPr>
        <w:rStyle w:val="SayfaNumaras"/>
        <w:noProof/>
        <w:sz w:val="24"/>
        <w:szCs w:val="24"/>
      </w:rPr>
      <w:t>3</w:t>
    </w:r>
    <w:r w:rsidRPr="006F7C0F">
      <w:rPr>
        <w:rStyle w:val="SayfaNumaras"/>
        <w:sz w:val="24"/>
        <w:szCs w:val="24"/>
      </w:rPr>
      <w:fldChar w:fldCharType="end"/>
    </w:r>
  </w:p>
  <w:p w:rsidR="00777662" w:rsidRPr="001220E1" w:rsidRDefault="00777662">
    <w:pPr>
      <w:pStyle w:val="AltBilgi"/>
      <w:tabs>
        <w:tab w:val="right" w:pos="9356"/>
      </w:tabs>
    </w:pPr>
    <w:r w:rsidRPr="001220E1">
      <w:tab/>
    </w:r>
    <w:r w:rsidRPr="001220E1">
      <w:tab/>
    </w:r>
  </w:p>
  <w:p w:rsidR="00777662" w:rsidRPr="001220E1" w:rsidRDefault="00777662">
    <w:pPr>
      <w:pStyle w:val="Footer2"/>
    </w:pPr>
    <w:r w:rsidRPr="001220E1">
      <w:tab/>
    </w:r>
    <w:r w:rsidR="00900760">
      <w:fldChar w:fldCharType="begin"/>
    </w:r>
    <w:r w:rsidR="00900760">
      <w:instrText xml:space="preserve"> DOCPROPERTY "&lt;Extension&gt;" </w:instrText>
    </w:r>
    <w:r w:rsidR="00900760">
      <w:fldChar w:fldCharType="separate"/>
    </w:r>
    <w:r w:rsidR="007154AF">
      <w:t>EN</w:t>
    </w:r>
    <w:r w:rsidR="0090076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37F" w:rsidRDefault="0026437F">
    <w:pPr>
      <w:pStyle w:val="AltBilgi"/>
      <w:jc w:val="center"/>
    </w:pPr>
    <w:r>
      <w:fldChar w:fldCharType="begin"/>
    </w:r>
    <w:r>
      <w:instrText xml:space="preserve"> PAGE   \* MERGEFORMAT </w:instrText>
    </w:r>
    <w:r>
      <w:fldChar w:fldCharType="separate"/>
    </w:r>
    <w:r w:rsidR="00953C44">
      <w:rPr>
        <w:noProof/>
      </w:rPr>
      <w:t>1</w:t>
    </w:r>
    <w:r>
      <w:rPr>
        <w:noProof/>
      </w:rPr>
      <w:fldChar w:fldCharType="end"/>
    </w:r>
  </w:p>
  <w:p w:rsidR="00777662" w:rsidRPr="001220E1" w:rsidRDefault="00777662" w:rsidP="00907285">
    <w:pPr>
      <w:pStyle w:val="Footer2"/>
      <w:tabs>
        <w:tab w:val="center" w:pos="453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760" w:rsidRPr="001220E1" w:rsidRDefault="00900760">
      <w:r w:rsidRPr="001220E1">
        <w:separator/>
      </w:r>
    </w:p>
  </w:footnote>
  <w:footnote w:type="continuationSeparator" w:id="0">
    <w:p w:rsidR="00900760" w:rsidRPr="001220E1" w:rsidRDefault="00900760">
      <w:r w:rsidRPr="001220E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2670"/>
    <w:multiLevelType w:val="hybridMultilevel"/>
    <w:tmpl w:val="A196A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116FD1"/>
    <w:multiLevelType w:val="multilevel"/>
    <w:tmpl w:val="DC20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333F3"/>
    <w:multiLevelType w:val="multilevel"/>
    <w:tmpl w:val="3F9ED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F645D"/>
    <w:multiLevelType w:val="multilevel"/>
    <w:tmpl w:val="38325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5F34A1"/>
    <w:multiLevelType w:val="multilevel"/>
    <w:tmpl w:val="6C64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804E9E"/>
    <w:multiLevelType w:val="hybridMultilevel"/>
    <w:tmpl w:val="7FB839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590914"/>
    <w:multiLevelType w:val="hybridMultilevel"/>
    <w:tmpl w:val="CA00D614"/>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BB7C5F"/>
    <w:multiLevelType w:val="multilevel"/>
    <w:tmpl w:val="6EC4C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EE686E"/>
    <w:multiLevelType w:val="hybridMultilevel"/>
    <w:tmpl w:val="0B24B5C0"/>
    <w:lvl w:ilvl="0" w:tplc="08090015">
      <w:start w:val="1"/>
      <w:numFmt w:val="upp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2C73C01"/>
    <w:multiLevelType w:val="hybridMultilevel"/>
    <w:tmpl w:val="4E36EFBA"/>
    <w:lvl w:ilvl="0" w:tplc="A8A8D0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15F90"/>
    <w:multiLevelType w:val="hybridMultilevel"/>
    <w:tmpl w:val="31E8E73A"/>
    <w:lvl w:ilvl="0" w:tplc="4CB41D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DA3752"/>
    <w:multiLevelType w:val="multilevel"/>
    <w:tmpl w:val="1824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0064AD"/>
    <w:multiLevelType w:val="hybridMultilevel"/>
    <w:tmpl w:val="FE6048D0"/>
    <w:lvl w:ilvl="0" w:tplc="A3DA55F0">
      <w:start w:val="1"/>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4064D5"/>
    <w:multiLevelType w:val="multilevel"/>
    <w:tmpl w:val="2FB0E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783133"/>
    <w:multiLevelType w:val="multilevel"/>
    <w:tmpl w:val="4494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C24CA6"/>
    <w:multiLevelType w:val="multilevel"/>
    <w:tmpl w:val="A168B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811F61"/>
    <w:multiLevelType w:val="multilevel"/>
    <w:tmpl w:val="EFC61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1A68CB"/>
    <w:multiLevelType w:val="multilevel"/>
    <w:tmpl w:val="FB56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C53396"/>
    <w:multiLevelType w:val="multilevel"/>
    <w:tmpl w:val="6EC4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7500F5"/>
    <w:multiLevelType w:val="multilevel"/>
    <w:tmpl w:val="ACD0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1"/>
  </w:num>
  <w:num w:numId="3">
    <w:abstractNumId w:val="1"/>
  </w:num>
  <w:num w:numId="4">
    <w:abstractNumId w:val="17"/>
  </w:num>
  <w:num w:numId="5">
    <w:abstractNumId w:val="2"/>
  </w:num>
  <w:num w:numId="6">
    <w:abstractNumId w:val="15"/>
  </w:num>
  <w:num w:numId="7">
    <w:abstractNumId w:val="14"/>
  </w:num>
  <w:num w:numId="8">
    <w:abstractNumId w:val="16"/>
  </w:num>
  <w:num w:numId="9">
    <w:abstractNumId w:val="13"/>
  </w:num>
  <w:num w:numId="10">
    <w:abstractNumId w:val="19"/>
  </w:num>
  <w:num w:numId="11">
    <w:abstractNumId w:val="4"/>
  </w:num>
  <w:num w:numId="12">
    <w:abstractNumId w:val="3"/>
  </w:num>
  <w:num w:numId="13">
    <w:abstractNumId w:val="7"/>
  </w:num>
  <w:num w:numId="14">
    <w:abstractNumId w:val="8"/>
  </w:num>
  <w:num w:numId="15">
    <w:abstractNumId w:val="12"/>
  </w:num>
  <w:num w:numId="16">
    <w:abstractNumId w:val="9"/>
  </w:num>
  <w:num w:numId="17">
    <w:abstractNumId w:val="10"/>
  </w:num>
  <w:num w:numId="18">
    <w:abstractNumId w:val="5"/>
  </w:num>
  <w:num w:numId="19">
    <w:abstractNumId w:val="6"/>
  </w:num>
  <w:num w:numId="20">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mirrorMargins/>
  <w:bordersDoNotSurroundHeader/>
  <w:bordersDoNotSurroundFooter/>
  <w:activeWritingStyle w:appName="MSWord" w:lang="da-DK" w:vendorID="64" w:dllVersion="131078" w:nlCheck="1" w:checkStyle="0"/>
  <w:activeWritingStyle w:appName="MSWord" w:lang="en-GB" w:vendorID="64" w:dllVersion="131078" w:nlCheck="1" w:checkStyle="0"/>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ToNetwork" w:val="-1"/>
    <w:docVar w:name="LastEditedSection" w:val=" 1"/>
    <w:docVar w:name="strDocTypeID" w:val="RE_art110"/>
    <w:docVar w:name="strSubDir" w:val="EU-"/>
    <w:docVar w:name="TXTLANGUE" w:val="EN"/>
    <w:docVar w:name="TXTLANGUEMIN" w:val="en"/>
    <w:docVar w:name="TXTROUTE" w:val="RE\EU-Russia Summit in Stockholm on 18 November 2009EN.doc"/>
  </w:docVars>
  <w:rsids>
    <w:rsidRoot w:val="001220E1"/>
    <w:rsid w:val="00001187"/>
    <w:rsid w:val="00001F45"/>
    <w:rsid w:val="00003B2B"/>
    <w:rsid w:val="00005F33"/>
    <w:rsid w:val="00013A61"/>
    <w:rsid w:val="00013DCB"/>
    <w:rsid w:val="00015A95"/>
    <w:rsid w:val="000160D9"/>
    <w:rsid w:val="00016606"/>
    <w:rsid w:val="000200F6"/>
    <w:rsid w:val="0002403B"/>
    <w:rsid w:val="00035CD4"/>
    <w:rsid w:val="00041637"/>
    <w:rsid w:val="00042915"/>
    <w:rsid w:val="00042FF7"/>
    <w:rsid w:val="00043326"/>
    <w:rsid w:val="000504EC"/>
    <w:rsid w:val="0005226C"/>
    <w:rsid w:val="0006399E"/>
    <w:rsid w:val="000645DB"/>
    <w:rsid w:val="00064B83"/>
    <w:rsid w:val="000751D8"/>
    <w:rsid w:val="000825D7"/>
    <w:rsid w:val="00082B07"/>
    <w:rsid w:val="00082BD6"/>
    <w:rsid w:val="000A3C87"/>
    <w:rsid w:val="000A405E"/>
    <w:rsid w:val="000B28B1"/>
    <w:rsid w:val="000B2933"/>
    <w:rsid w:val="000B4268"/>
    <w:rsid w:val="000B6FE8"/>
    <w:rsid w:val="000C15EA"/>
    <w:rsid w:val="000C61B7"/>
    <w:rsid w:val="000C6C50"/>
    <w:rsid w:val="000F05AB"/>
    <w:rsid w:val="000F33BF"/>
    <w:rsid w:val="00105175"/>
    <w:rsid w:val="0010705D"/>
    <w:rsid w:val="00114822"/>
    <w:rsid w:val="00116DD1"/>
    <w:rsid w:val="001211D4"/>
    <w:rsid w:val="00121373"/>
    <w:rsid w:val="001220E1"/>
    <w:rsid w:val="00126039"/>
    <w:rsid w:val="00131E47"/>
    <w:rsid w:val="00140A0A"/>
    <w:rsid w:val="00142B38"/>
    <w:rsid w:val="00146C83"/>
    <w:rsid w:val="00151059"/>
    <w:rsid w:val="00152B6B"/>
    <w:rsid w:val="0015749F"/>
    <w:rsid w:val="00157514"/>
    <w:rsid w:val="0016565F"/>
    <w:rsid w:val="00165C70"/>
    <w:rsid w:val="001803AD"/>
    <w:rsid w:val="001834C3"/>
    <w:rsid w:val="00183DC7"/>
    <w:rsid w:val="001848D0"/>
    <w:rsid w:val="0019056B"/>
    <w:rsid w:val="00196502"/>
    <w:rsid w:val="00197384"/>
    <w:rsid w:val="00197645"/>
    <w:rsid w:val="001A0945"/>
    <w:rsid w:val="001A7BFE"/>
    <w:rsid w:val="001B1D91"/>
    <w:rsid w:val="001B2D84"/>
    <w:rsid w:val="001B7275"/>
    <w:rsid w:val="001B733B"/>
    <w:rsid w:val="001B7AE7"/>
    <w:rsid w:val="001C09FC"/>
    <w:rsid w:val="001C2819"/>
    <w:rsid w:val="001C42C3"/>
    <w:rsid w:val="001C62C5"/>
    <w:rsid w:val="001D11FA"/>
    <w:rsid w:val="001D1C41"/>
    <w:rsid w:val="001D26DC"/>
    <w:rsid w:val="001D33D0"/>
    <w:rsid w:val="001D3736"/>
    <w:rsid w:val="001D54AB"/>
    <w:rsid w:val="001E36B7"/>
    <w:rsid w:val="001E40F9"/>
    <w:rsid w:val="00202954"/>
    <w:rsid w:val="00210757"/>
    <w:rsid w:val="00211DD8"/>
    <w:rsid w:val="0022377F"/>
    <w:rsid w:val="002246D1"/>
    <w:rsid w:val="00225925"/>
    <w:rsid w:val="00226720"/>
    <w:rsid w:val="00242797"/>
    <w:rsid w:val="00254249"/>
    <w:rsid w:val="00256414"/>
    <w:rsid w:val="002574AA"/>
    <w:rsid w:val="002601E2"/>
    <w:rsid w:val="0026437F"/>
    <w:rsid w:val="0027300F"/>
    <w:rsid w:val="00277242"/>
    <w:rsid w:val="00282E32"/>
    <w:rsid w:val="0029790B"/>
    <w:rsid w:val="002A5EDE"/>
    <w:rsid w:val="002B1AD3"/>
    <w:rsid w:val="002B1D41"/>
    <w:rsid w:val="002B3C11"/>
    <w:rsid w:val="002B4014"/>
    <w:rsid w:val="002B7B14"/>
    <w:rsid w:val="002C0C99"/>
    <w:rsid w:val="002C42E8"/>
    <w:rsid w:val="002C7013"/>
    <w:rsid w:val="002D2A23"/>
    <w:rsid w:val="002D7641"/>
    <w:rsid w:val="002E79F2"/>
    <w:rsid w:val="002F0475"/>
    <w:rsid w:val="002F5890"/>
    <w:rsid w:val="0030278A"/>
    <w:rsid w:val="00303413"/>
    <w:rsid w:val="00311173"/>
    <w:rsid w:val="00312262"/>
    <w:rsid w:val="00315AFF"/>
    <w:rsid w:val="00320924"/>
    <w:rsid w:val="00322D4D"/>
    <w:rsid w:val="0032570F"/>
    <w:rsid w:val="003262FC"/>
    <w:rsid w:val="003272CC"/>
    <w:rsid w:val="00327BBE"/>
    <w:rsid w:val="0033108D"/>
    <w:rsid w:val="00336DF2"/>
    <w:rsid w:val="00343288"/>
    <w:rsid w:val="00346514"/>
    <w:rsid w:val="0035438D"/>
    <w:rsid w:val="00356806"/>
    <w:rsid w:val="00356BD6"/>
    <w:rsid w:val="003677F5"/>
    <w:rsid w:val="003700B6"/>
    <w:rsid w:val="003701BF"/>
    <w:rsid w:val="00374593"/>
    <w:rsid w:val="00375388"/>
    <w:rsid w:val="003764DB"/>
    <w:rsid w:val="00380BB8"/>
    <w:rsid w:val="0038112C"/>
    <w:rsid w:val="00382775"/>
    <w:rsid w:val="00385E08"/>
    <w:rsid w:val="003902AF"/>
    <w:rsid w:val="00390E6B"/>
    <w:rsid w:val="00394F93"/>
    <w:rsid w:val="003974F4"/>
    <w:rsid w:val="003A14DB"/>
    <w:rsid w:val="003A5557"/>
    <w:rsid w:val="003B0877"/>
    <w:rsid w:val="003C7FA5"/>
    <w:rsid w:val="003D665B"/>
    <w:rsid w:val="003E04BD"/>
    <w:rsid w:val="003F0833"/>
    <w:rsid w:val="003F1959"/>
    <w:rsid w:val="003F73E9"/>
    <w:rsid w:val="00403147"/>
    <w:rsid w:val="00405961"/>
    <w:rsid w:val="00413ACA"/>
    <w:rsid w:val="00413C40"/>
    <w:rsid w:val="00421358"/>
    <w:rsid w:val="00422E68"/>
    <w:rsid w:val="00430786"/>
    <w:rsid w:val="004373DC"/>
    <w:rsid w:val="004461BE"/>
    <w:rsid w:val="00450C67"/>
    <w:rsid w:val="00451E4F"/>
    <w:rsid w:val="004544EF"/>
    <w:rsid w:val="00463432"/>
    <w:rsid w:val="00485B10"/>
    <w:rsid w:val="00490790"/>
    <w:rsid w:val="0049383A"/>
    <w:rsid w:val="004A7F08"/>
    <w:rsid w:val="004C0FCE"/>
    <w:rsid w:val="004C267A"/>
    <w:rsid w:val="004C5F1D"/>
    <w:rsid w:val="004C7E6E"/>
    <w:rsid w:val="004D0841"/>
    <w:rsid w:val="004D42E4"/>
    <w:rsid w:val="004D48EE"/>
    <w:rsid w:val="004D574F"/>
    <w:rsid w:val="004E1E57"/>
    <w:rsid w:val="004E389F"/>
    <w:rsid w:val="004E60DC"/>
    <w:rsid w:val="004E742F"/>
    <w:rsid w:val="004F7F9B"/>
    <w:rsid w:val="00501AF3"/>
    <w:rsid w:val="0050267C"/>
    <w:rsid w:val="00514063"/>
    <w:rsid w:val="005143BA"/>
    <w:rsid w:val="00523E33"/>
    <w:rsid w:val="00527F8A"/>
    <w:rsid w:val="00537D0B"/>
    <w:rsid w:val="00541F2F"/>
    <w:rsid w:val="005436AB"/>
    <w:rsid w:val="00550920"/>
    <w:rsid w:val="005524A8"/>
    <w:rsid w:val="005555F5"/>
    <w:rsid w:val="00556F6F"/>
    <w:rsid w:val="005615D3"/>
    <w:rsid w:val="00567B54"/>
    <w:rsid w:val="00567F92"/>
    <w:rsid w:val="00567FB6"/>
    <w:rsid w:val="00570880"/>
    <w:rsid w:val="00572C4F"/>
    <w:rsid w:val="00581DE5"/>
    <w:rsid w:val="0058312A"/>
    <w:rsid w:val="00585313"/>
    <w:rsid w:val="00590FEE"/>
    <w:rsid w:val="0059220A"/>
    <w:rsid w:val="00596D5D"/>
    <w:rsid w:val="005A40A6"/>
    <w:rsid w:val="005A6CA7"/>
    <w:rsid w:val="005B0FDB"/>
    <w:rsid w:val="005B555C"/>
    <w:rsid w:val="005B5DF4"/>
    <w:rsid w:val="005C06AD"/>
    <w:rsid w:val="005C2878"/>
    <w:rsid w:val="005C3E71"/>
    <w:rsid w:val="005C4A57"/>
    <w:rsid w:val="005C7CDA"/>
    <w:rsid w:val="005D0E57"/>
    <w:rsid w:val="005D3AB8"/>
    <w:rsid w:val="005D5589"/>
    <w:rsid w:val="005E2A11"/>
    <w:rsid w:val="005E38A0"/>
    <w:rsid w:val="005E64B7"/>
    <w:rsid w:val="005E6E00"/>
    <w:rsid w:val="005E7B8F"/>
    <w:rsid w:val="005F0CAA"/>
    <w:rsid w:val="005F4A52"/>
    <w:rsid w:val="006028DF"/>
    <w:rsid w:val="006030C0"/>
    <w:rsid w:val="0060567D"/>
    <w:rsid w:val="006103F4"/>
    <w:rsid w:val="00622E9D"/>
    <w:rsid w:val="00623C37"/>
    <w:rsid w:val="006274BA"/>
    <w:rsid w:val="0063738A"/>
    <w:rsid w:val="006442F3"/>
    <w:rsid w:val="006472FE"/>
    <w:rsid w:val="00650C76"/>
    <w:rsid w:val="00654DC3"/>
    <w:rsid w:val="00664850"/>
    <w:rsid w:val="00667261"/>
    <w:rsid w:val="00667ED3"/>
    <w:rsid w:val="006763E3"/>
    <w:rsid w:val="0069649A"/>
    <w:rsid w:val="006965C6"/>
    <w:rsid w:val="00696E19"/>
    <w:rsid w:val="006A03E6"/>
    <w:rsid w:val="006A2971"/>
    <w:rsid w:val="006A3DA2"/>
    <w:rsid w:val="006B40FC"/>
    <w:rsid w:val="006B7E1D"/>
    <w:rsid w:val="006C06DC"/>
    <w:rsid w:val="006C30C6"/>
    <w:rsid w:val="006C6BBB"/>
    <w:rsid w:val="006D2C67"/>
    <w:rsid w:val="006D308A"/>
    <w:rsid w:val="006D5ABD"/>
    <w:rsid w:val="006D70CE"/>
    <w:rsid w:val="006D7D1E"/>
    <w:rsid w:val="006E5509"/>
    <w:rsid w:val="006F798C"/>
    <w:rsid w:val="006F7C0F"/>
    <w:rsid w:val="00702785"/>
    <w:rsid w:val="007154AF"/>
    <w:rsid w:val="00715E43"/>
    <w:rsid w:val="007163CC"/>
    <w:rsid w:val="007211C5"/>
    <w:rsid w:val="0073497E"/>
    <w:rsid w:val="00740ABF"/>
    <w:rsid w:val="00744359"/>
    <w:rsid w:val="007524F9"/>
    <w:rsid w:val="00760B34"/>
    <w:rsid w:val="00761AE0"/>
    <w:rsid w:val="007647A7"/>
    <w:rsid w:val="007648E1"/>
    <w:rsid w:val="00764CA0"/>
    <w:rsid w:val="0077222E"/>
    <w:rsid w:val="0077654F"/>
    <w:rsid w:val="00777662"/>
    <w:rsid w:val="00777989"/>
    <w:rsid w:val="007869F5"/>
    <w:rsid w:val="0078719F"/>
    <w:rsid w:val="00790872"/>
    <w:rsid w:val="00792DE4"/>
    <w:rsid w:val="007A236B"/>
    <w:rsid w:val="007A4373"/>
    <w:rsid w:val="007A4760"/>
    <w:rsid w:val="007B3406"/>
    <w:rsid w:val="007B350E"/>
    <w:rsid w:val="007B41C9"/>
    <w:rsid w:val="007B4D8A"/>
    <w:rsid w:val="007B79B1"/>
    <w:rsid w:val="007C2E98"/>
    <w:rsid w:val="007C47D9"/>
    <w:rsid w:val="007D079F"/>
    <w:rsid w:val="007D7DF3"/>
    <w:rsid w:val="007E043F"/>
    <w:rsid w:val="00800760"/>
    <w:rsid w:val="00807C25"/>
    <w:rsid w:val="00810C12"/>
    <w:rsid w:val="00814BC6"/>
    <w:rsid w:val="0082153C"/>
    <w:rsid w:val="008217A1"/>
    <w:rsid w:val="0082329F"/>
    <w:rsid w:val="00823D67"/>
    <w:rsid w:val="0082596E"/>
    <w:rsid w:val="00831DD7"/>
    <w:rsid w:val="00836EDD"/>
    <w:rsid w:val="0084765C"/>
    <w:rsid w:val="00850A1C"/>
    <w:rsid w:val="008510F2"/>
    <w:rsid w:val="008525A9"/>
    <w:rsid w:val="0086709E"/>
    <w:rsid w:val="00867FD7"/>
    <w:rsid w:val="00871FB4"/>
    <w:rsid w:val="00882348"/>
    <w:rsid w:val="00886AE6"/>
    <w:rsid w:val="0089331D"/>
    <w:rsid w:val="008A0154"/>
    <w:rsid w:val="008A1475"/>
    <w:rsid w:val="008A3DBB"/>
    <w:rsid w:val="008A4052"/>
    <w:rsid w:val="008B1F92"/>
    <w:rsid w:val="008B3112"/>
    <w:rsid w:val="008B775C"/>
    <w:rsid w:val="008D1E83"/>
    <w:rsid w:val="008D45FB"/>
    <w:rsid w:val="008D4C4C"/>
    <w:rsid w:val="008D5B62"/>
    <w:rsid w:val="008D614A"/>
    <w:rsid w:val="008E2C99"/>
    <w:rsid w:val="008E4B66"/>
    <w:rsid w:val="008E5CE7"/>
    <w:rsid w:val="008E7369"/>
    <w:rsid w:val="008F3060"/>
    <w:rsid w:val="008F3DA4"/>
    <w:rsid w:val="008F6CB9"/>
    <w:rsid w:val="00900760"/>
    <w:rsid w:val="00907285"/>
    <w:rsid w:val="00911EEB"/>
    <w:rsid w:val="00922A21"/>
    <w:rsid w:val="009255C1"/>
    <w:rsid w:val="0093077F"/>
    <w:rsid w:val="009352DF"/>
    <w:rsid w:val="00944903"/>
    <w:rsid w:val="00945A39"/>
    <w:rsid w:val="00951616"/>
    <w:rsid w:val="00953C44"/>
    <w:rsid w:val="00963F98"/>
    <w:rsid w:val="00966623"/>
    <w:rsid w:val="00971BFE"/>
    <w:rsid w:val="00973320"/>
    <w:rsid w:val="00977118"/>
    <w:rsid w:val="00977CA4"/>
    <w:rsid w:val="00983347"/>
    <w:rsid w:val="00994093"/>
    <w:rsid w:val="00996181"/>
    <w:rsid w:val="009A5D01"/>
    <w:rsid w:val="009B080C"/>
    <w:rsid w:val="009B0BA1"/>
    <w:rsid w:val="009B0E2D"/>
    <w:rsid w:val="009B1390"/>
    <w:rsid w:val="009B58CB"/>
    <w:rsid w:val="009C7D1A"/>
    <w:rsid w:val="009D6003"/>
    <w:rsid w:val="009D608F"/>
    <w:rsid w:val="009E0E92"/>
    <w:rsid w:val="009E2684"/>
    <w:rsid w:val="009E5283"/>
    <w:rsid w:val="009F4385"/>
    <w:rsid w:val="009F4899"/>
    <w:rsid w:val="009F5E84"/>
    <w:rsid w:val="00A046D9"/>
    <w:rsid w:val="00A100FC"/>
    <w:rsid w:val="00A1363D"/>
    <w:rsid w:val="00A20C21"/>
    <w:rsid w:val="00A21BE8"/>
    <w:rsid w:val="00A34ACB"/>
    <w:rsid w:val="00A36ACA"/>
    <w:rsid w:val="00A4173B"/>
    <w:rsid w:val="00A4778A"/>
    <w:rsid w:val="00A536B3"/>
    <w:rsid w:val="00A6031B"/>
    <w:rsid w:val="00A611E0"/>
    <w:rsid w:val="00A664BA"/>
    <w:rsid w:val="00A667AC"/>
    <w:rsid w:val="00A66C6C"/>
    <w:rsid w:val="00A71E07"/>
    <w:rsid w:val="00A90219"/>
    <w:rsid w:val="00A9136E"/>
    <w:rsid w:val="00A96693"/>
    <w:rsid w:val="00AA1B23"/>
    <w:rsid w:val="00AA4079"/>
    <w:rsid w:val="00AA58B8"/>
    <w:rsid w:val="00AA5AFD"/>
    <w:rsid w:val="00AA5C78"/>
    <w:rsid w:val="00AA73A2"/>
    <w:rsid w:val="00AA7A50"/>
    <w:rsid w:val="00AB3E80"/>
    <w:rsid w:val="00AB7DAA"/>
    <w:rsid w:val="00AC5A28"/>
    <w:rsid w:val="00AD0510"/>
    <w:rsid w:val="00AD1A5F"/>
    <w:rsid w:val="00AD67AB"/>
    <w:rsid w:val="00AE0093"/>
    <w:rsid w:val="00AE0502"/>
    <w:rsid w:val="00AE31F5"/>
    <w:rsid w:val="00AE4BCE"/>
    <w:rsid w:val="00AE5506"/>
    <w:rsid w:val="00AE5720"/>
    <w:rsid w:val="00AE79B2"/>
    <w:rsid w:val="00AF157B"/>
    <w:rsid w:val="00B02193"/>
    <w:rsid w:val="00B0370E"/>
    <w:rsid w:val="00B05DF5"/>
    <w:rsid w:val="00B0764A"/>
    <w:rsid w:val="00B111C9"/>
    <w:rsid w:val="00B11C3C"/>
    <w:rsid w:val="00B16057"/>
    <w:rsid w:val="00B17EB4"/>
    <w:rsid w:val="00B253F3"/>
    <w:rsid w:val="00B26893"/>
    <w:rsid w:val="00B34527"/>
    <w:rsid w:val="00B64C0A"/>
    <w:rsid w:val="00B70995"/>
    <w:rsid w:val="00B75947"/>
    <w:rsid w:val="00B90CF4"/>
    <w:rsid w:val="00B92BB0"/>
    <w:rsid w:val="00B977BB"/>
    <w:rsid w:val="00BA27B4"/>
    <w:rsid w:val="00BC1575"/>
    <w:rsid w:val="00BC2BAA"/>
    <w:rsid w:val="00BC47B3"/>
    <w:rsid w:val="00BD0EFE"/>
    <w:rsid w:val="00BE4499"/>
    <w:rsid w:val="00C0596E"/>
    <w:rsid w:val="00C12D58"/>
    <w:rsid w:val="00C13612"/>
    <w:rsid w:val="00C13851"/>
    <w:rsid w:val="00C15A30"/>
    <w:rsid w:val="00C249FC"/>
    <w:rsid w:val="00C24E28"/>
    <w:rsid w:val="00C35DDE"/>
    <w:rsid w:val="00C3664F"/>
    <w:rsid w:val="00C54709"/>
    <w:rsid w:val="00C561E2"/>
    <w:rsid w:val="00C57377"/>
    <w:rsid w:val="00C706FD"/>
    <w:rsid w:val="00C735E4"/>
    <w:rsid w:val="00C7443B"/>
    <w:rsid w:val="00C75300"/>
    <w:rsid w:val="00C77338"/>
    <w:rsid w:val="00C809AE"/>
    <w:rsid w:val="00C82B11"/>
    <w:rsid w:val="00C838F8"/>
    <w:rsid w:val="00C8458A"/>
    <w:rsid w:val="00C84A97"/>
    <w:rsid w:val="00C8626A"/>
    <w:rsid w:val="00C87C12"/>
    <w:rsid w:val="00C9647C"/>
    <w:rsid w:val="00CA682D"/>
    <w:rsid w:val="00CA78C9"/>
    <w:rsid w:val="00CB0015"/>
    <w:rsid w:val="00CB3FD0"/>
    <w:rsid w:val="00CB7D12"/>
    <w:rsid w:val="00CC09D8"/>
    <w:rsid w:val="00CC25D8"/>
    <w:rsid w:val="00CC2851"/>
    <w:rsid w:val="00CC689F"/>
    <w:rsid w:val="00CD0FB1"/>
    <w:rsid w:val="00CD3F5E"/>
    <w:rsid w:val="00CD5BF1"/>
    <w:rsid w:val="00CD5E00"/>
    <w:rsid w:val="00CE0418"/>
    <w:rsid w:val="00CE0AC0"/>
    <w:rsid w:val="00CE599E"/>
    <w:rsid w:val="00CE754A"/>
    <w:rsid w:val="00CF14DB"/>
    <w:rsid w:val="00CF630A"/>
    <w:rsid w:val="00D02450"/>
    <w:rsid w:val="00D11C8A"/>
    <w:rsid w:val="00D15074"/>
    <w:rsid w:val="00D211E2"/>
    <w:rsid w:val="00D22338"/>
    <w:rsid w:val="00D2368B"/>
    <w:rsid w:val="00D254ED"/>
    <w:rsid w:val="00D310B4"/>
    <w:rsid w:val="00D35583"/>
    <w:rsid w:val="00D376A0"/>
    <w:rsid w:val="00D42907"/>
    <w:rsid w:val="00D51F69"/>
    <w:rsid w:val="00D524ED"/>
    <w:rsid w:val="00D6089D"/>
    <w:rsid w:val="00D64670"/>
    <w:rsid w:val="00D84B3E"/>
    <w:rsid w:val="00D91D70"/>
    <w:rsid w:val="00D929A8"/>
    <w:rsid w:val="00D93188"/>
    <w:rsid w:val="00D93453"/>
    <w:rsid w:val="00D96980"/>
    <w:rsid w:val="00D97FA2"/>
    <w:rsid w:val="00DA3F27"/>
    <w:rsid w:val="00DB39E0"/>
    <w:rsid w:val="00DB5963"/>
    <w:rsid w:val="00DC14D5"/>
    <w:rsid w:val="00DC2EAB"/>
    <w:rsid w:val="00DC3689"/>
    <w:rsid w:val="00DC37A2"/>
    <w:rsid w:val="00DC5014"/>
    <w:rsid w:val="00DD3983"/>
    <w:rsid w:val="00DE3299"/>
    <w:rsid w:val="00DE3B53"/>
    <w:rsid w:val="00DF380C"/>
    <w:rsid w:val="00DF3D30"/>
    <w:rsid w:val="00DF5EE9"/>
    <w:rsid w:val="00E01951"/>
    <w:rsid w:val="00E030E1"/>
    <w:rsid w:val="00E05C31"/>
    <w:rsid w:val="00E06953"/>
    <w:rsid w:val="00E06F03"/>
    <w:rsid w:val="00E10B4E"/>
    <w:rsid w:val="00E124CE"/>
    <w:rsid w:val="00E30B80"/>
    <w:rsid w:val="00E31D12"/>
    <w:rsid w:val="00E3278F"/>
    <w:rsid w:val="00E40CDB"/>
    <w:rsid w:val="00E4306A"/>
    <w:rsid w:val="00E451FE"/>
    <w:rsid w:val="00E45671"/>
    <w:rsid w:val="00E53167"/>
    <w:rsid w:val="00E556CC"/>
    <w:rsid w:val="00E55CC3"/>
    <w:rsid w:val="00E64726"/>
    <w:rsid w:val="00E66F9A"/>
    <w:rsid w:val="00E70B67"/>
    <w:rsid w:val="00E74761"/>
    <w:rsid w:val="00E749EE"/>
    <w:rsid w:val="00E74F69"/>
    <w:rsid w:val="00E76B59"/>
    <w:rsid w:val="00E82574"/>
    <w:rsid w:val="00E82E28"/>
    <w:rsid w:val="00E84DFA"/>
    <w:rsid w:val="00E91FE0"/>
    <w:rsid w:val="00E92671"/>
    <w:rsid w:val="00E93DC8"/>
    <w:rsid w:val="00EA0C0B"/>
    <w:rsid w:val="00EA2FB6"/>
    <w:rsid w:val="00EA4765"/>
    <w:rsid w:val="00EB01B3"/>
    <w:rsid w:val="00EB5241"/>
    <w:rsid w:val="00EC1F97"/>
    <w:rsid w:val="00ED1291"/>
    <w:rsid w:val="00ED147B"/>
    <w:rsid w:val="00ED6BDB"/>
    <w:rsid w:val="00EE2F27"/>
    <w:rsid w:val="00EF472B"/>
    <w:rsid w:val="00F005E9"/>
    <w:rsid w:val="00F0329F"/>
    <w:rsid w:val="00F03824"/>
    <w:rsid w:val="00F10983"/>
    <w:rsid w:val="00F11BE2"/>
    <w:rsid w:val="00F151AF"/>
    <w:rsid w:val="00F16156"/>
    <w:rsid w:val="00F22E7B"/>
    <w:rsid w:val="00F23F13"/>
    <w:rsid w:val="00F2480B"/>
    <w:rsid w:val="00F25E4C"/>
    <w:rsid w:val="00F3070D"/>
    <w:rsid w:val="00F30EBB"/>
    <w:rsid w:val="00F406C5"/>
    <w:rsid w:val="00F42CC1"/>
    <w:rsid w:val="00F46BEA"/>
    <w:rsid w:val="00F55C31"/>
    <w:rsid w:val="00F6656E"/>
    <w:rsid w:val="00F8460C"/>
    <w:rsid w:val="00F96D1B"/>
    <w:rsid w:val="00FA2235"/>
    <w:rsid w:val="00FA7699"/>
    <w:rsid w:val="00FB2541"/>
    <w:rsid w:val="00FB3E7C"/>
    <w:rsid w:val="00FB4A91"/>
    <w:rsid w:val="00FC3FDC"/>
    <w:rsid w:val="00FC4D9D"/>
    <w:rsid w:val="00FC4F5C"/>
    <w:rsid w:val="00FD334B"/>
    <w:rsid w:val="00FE06BE"/>
    <w:rsid w:val="00FE2AC8"/>
    <w:rsid w:val="00FF0170"/>
    <w:rsid w:val="00FF5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BAC312-099D-48A9-8930-346974E3A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rPr>
  </w:style>
  <w:style w:type="paragraph" w:styleId="Balk1">
    <w:name w:val="heading 1"/>
    <w:basedOn w:val="Normal"/>
    <w:next w:val="Normal"/>
    <w:qFormat/>
    <w:pPr>
      <w:keepNext/>
      <w:spacing w:before="240" w:after="60"/>
      <w:outlineLvl w:val="0"/>
    </w:pPr>
    <w:rPr>
      <w:rFonts w:ascii="Arial" w:hAnsi="Arial"/>
      <w:b/>
      <w:kern w:val="28"/>
      <w:sz w:val="28"/>
    </w:rPr>
  </w:style>
  <w:style w:type="paragraph" w:styleId="Balk2">
    <w:name w:val="heading 2"/>
    <w:basedOn w:val="Normal"/>
    <w:next w:val="Normal"/>
    <w:qFormat/>
    <w:pPr>
      <w:keepNext/>
      <w:spacing w:before="240" w:after="60"/>
      <w:outlineLvl w:val="1"/>
    </w:pPr>
    <w:rPr>
      <w:rFonts w:ascii="Arial" w:hAnsi="Arial"/>
      <w:b/>
      <w:i/>
    </w:rPr>
  </w:style>
  <w:style w:type="paragraph" w:styleId="Balk3">
    <w:name w:val="heading 3"/>
    <w:basedOn w:val="Normal"/>
    <w:next w:val="Normal"/>
    <w:qFormat/>
    <w:pPr>
      <w:keepNext/>
      <w:spacing w:before="240" w:after="60"/>
      <w:outlineLvl w:val="2"/>
    </w:pPr>
    <w:rPr>
      <w:rFonts w:ascii="Arial" w:hAnsi="Arial"/>
    </w:rPr>
  </w:style>
  <w:style w:type="paragraph" w:styleId="Balk4">
    <w:name w:val="heading 4"/>
    <w:basedOn w:val="Normal"/>
    <w:next w:val="Normal"/>
    <w:qFormat/>
    <w:pPr>
      <w:keepNext/>
      <w:spacing w:before="240" w:after="60"/>
      <w:outlineLvl w:val="3"/>
    </w:pPr>
    <w:rPr>
      <w:rFonts w:ascii="Arial" w:hAnsi="Arial"/>
      <w:b/>
    </w:rPr>
  </w:style>
  <w:style w:type="paragraph" w:styleId="Balk5">
    <w:name w:val="heading 5"/>
    <w:basedOn w:val="Normal"/>
    <w:next w:val="Normal"/>
    <w:qFormat/>
    <w:pPr>
      <w:spacing w:before="240" w:after="60"/>
      <w:outlineLvl w:val="4"/>
    </w:pPr>
    <w:rPr>
      <w:sz w:val="22"/>
    </w:rPr>
  </w:style>
  <w:style w:type="paragraph" w:styleId="Balk6">
    <w:name w:val="heading 6"/>
    <w:basedOn w:val="Normal"/>
    <w:next w:val="Normal"/>
    <w:qFormat/>
    <w:pPr>
      <w:spacing w:before="240" w:after="60"/>
      <w:outlineLvl w:val="5"/>
    </w:pPr>
    <w:rPr>
      <w:i/>
      <w:sz w:val="22"/>
    </w:rPr>
  </w:style>
  <w:style w:type="paragraph" w:styleId="Balk7">
    <w:name w:val="heading 7"/>
    <w:basedOn w:val="Normal"/>
    <w:next w:val="Normal"/>
    <w:qFormat/>
    <w:pPr>
      <w:spacing w:before="240" w:after="60"/>
      <w:outlineLvl w:val="6"/>
    </w:pPr>
    <w:rPr>
      <w:rFonts w:ascii="Arial" w:hAnsi="Arial"/>
    </w:rPr>
  </w:style>
  <w:style w:type="paragraph" w:styleId="Balk8">
    <w:name w:val="heading 8"/>
    <w:basedOn w:val="Normal"/>
    <w:next w:val="Normal"/>
    <w:qFormat/>
    <w:pPr>
      <w:spacing w:before="240" w:after="60"/>
      <w:outlineLvl w:val="7"/>
    </w:pPr>
    <w:rPr>
      <w:rFonts w:ascii="Arial" w:hAnsi="Arial"/>
      <w:i/>
    </w:rPr>
  </w:style>
  <w:style w:type="paragraph" w:styleId="Balk9">
    <w:name w:val="heading 9"/>
    <w:basedOn w:val="Normal"/>
    <w:next w:val="Normal"/>
    <w:qFormat/>
    <w:pPr>
      <w:spacing w:before="240" w:after="60"/>
      <w:outlineLvl w:val="8"/>
    </w:pPr>
    <w:rPr>
      <w:rFonts w:ascii="Arial" w:hAnsi="Arial"/>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ideTWBExt">
    <w:name w:val="HideTWBExt"/>
    <w:rPr>
      <w:rFonts w:ascii="Arial" w:hAnsi="Arial"/>
      <w:noProof/>
      <w:vanish/>
      <w:color w:val="000080"/>
      <w:sz w:val="20"/>
    </w:rPr>
  </w:style>
  <w:style w:type="paragraph" w:styleId="AltBilgi">
    <w:name w:val="footer"/>
    <w:basedOn w:val="Normal12a12b"/>
    <w:link w:val="AltBilgiChar"/>
    <w:uiPriority w:val="99"/>
    <w:pPr>
      <w:tabs>
        <w:tab w:val="center" w:pos="4536"/>
        <w:tab w:val="right" w:pos="9072"/>
      </w:tabs>
    </w:pPr>
    <w:rPr>
      <w:sz w:val="22"/>
    </w:rPr>
  </w:style>
  <w:style w:type="paragraph" w:customStyle="1" w:styleId="Normal12a12b">
    <w:name w:val="Normal12a12b"/>
    <w:basedOn w:val="Normal"/>
    <w:pPr>
      <w:spacing w:before="240" w:after="240"/>
    </w:pPr>
  </w:style>
  <w:style w:type="character" w:customStyle="1" w:styleId="Added">
    <w:name w:val="Added"/>
    <w:rPr>
      <w:b/>
      <w:i/>
    </w:rPr>
  </w:style>
  <w:style w:type="character" w:customStyle="1" w:styleId="Deleted">
    <w:name w:val="Deleted"/>
    <w:rPr>
      <w:b/>
      <w:i/>
    </w:rPr>
  </w:style>
  <w:style w:type="paragraph" w:customStyle="1" w:styleId="Footer2">
    <w:name w:val="Footer2"/>
    <w:basedOn w:val="Normal12"/>
    <w:pPr>
      <w:tabs>
        <w:tab w:val="right" w:pos="9923"/>
      </w:tabs>
      <w:ind w:left="-851"/>
    </w:pPr>
    <w:rPr>
      <w:rFonts w:ascii="Arial" w:hAnsi="Arial"/>
      <w:b/>
      <w:sz w:val="48"/>
    </w:rPr>
  </w:style>
  <w:style w:type="paragraph" w:customStyle="1" w:styleId="Normal12">
    <w:name w:val="Normal12"/>
    <w:basedOn w:val="Normal"/>
    <w:pPr>
      <w:spacing w:after="240"/>
    </w:pPr>
  </w:style>
  <w:style w:type="paragraph" w:customStyle="1" w:styleId="Justification">
    <w:name w:val="Justification"/>
    <w:basedOn w:val="Normal12"/>
    <w:rPr>
      <w:i/>
    </w:rPr>
  </w:style>
  <w:style w:type="paragraph" w:styleId="T1">
    <w:name w:val="toc 1"/>
    <w:basedOn w:val="Normal12"/>
    <w:next w:val="Normal12"/>
    <w:autoRedefine/>
    <w:semiHidden/>
  </w:style>
  <w:style w:type="paragraph" w:styleId="TBal">
    <w:name w:val="TOC Heading"/>
    <w:basedOn w:val="Normal12"/>
    <w:next w:val="Normal12"/>
    <w:qFormat/>
    <w:pPr>
      <w:keepNext/>
      <w:spacing w:before="240"/>
      <w:jc w:val="center"/>
    </w:pPr>
    <w:rPr>
      <w:rFonts w:ascii="Arial" w:hAnsi="Arial"/>
      <w:b/>
    </w:rPr>
  </w:style>
  <w:style w:type="paragraph" w:customStyle="1" w:styleId="TOCPage">
    <w:name w:val="TOC Page"/>
    <w:basedOn w:val="Normal12"/>
    <w:next w:val="T1"/>
    <w:pPr>
      <w:keepNext/>
      <w:jc w:val="right"/>
    </w:pPr>
    <w:rPr>
      <w:rFonts w:ascii="Arial" w:hAnsi="Arial"/>
      <w:b/>
    </w:rPr>
  </w:style>
  <w:style w:type="character" w:customStyle="1" w:styleId="HideTWBInt">
    <w:name w:val="HideTWBI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Normal6">
    <w:name w:val="Normal6"/>
    <w:basedOn w:val="Normal"/>
    <w:pPr>
      <w:spacing w:after="120"/>
    </w:pPr>
  </w:style>
  <w:style w:type="paragraph" w:customStyle="1" w:styleId="PageHeading">
    <w:name w:val="PageHeading"/>
    <w:basedOn w:val="Normal12a12b"/>
    <w:pPr>
      <w:keepNext/>
      <w:jc w:val="center"/>
    </w:pPr>
    <w:rPr>
      <w:rFonts w:ascii="Arial" w:hAnsi="Arial"/>
      <w:b/>
    </w:rPr>
  </w:style>
  <w:style w:type="paragraph" w:customStyle="1" w:styleId="NormalBold">
    <w:name w:val="NormalBold"/>
    <w:basedOn w:val="Normal"/>
    <w:rPr>
      <w:b/>
    </w:rPr>
  </w:style>
  <w:style w:type="paragraph" w:customStyle="1" w:styleId="Normal12Bold">
    <w:name w:val="Normal12Bold"/>
    <w:basedOn w:val="Normal12"/>
    <w:rPr>
      <w:b/>
    </w:rPr>
  </w:style>
  <w:style w:type="paragraph" w:customStyle="1" w:styleId="Normal12Italic">
    <w:name w:val="Normal12Italic"/>
    <w:basedOn w:val="Normal12"/>
    <w:rPr>
      <w:i/>
    </w:rPr>
  </w:style>
  <w:style w:type="paragraph" w:customStyle="1" w:styleId="Normal12Hanging">
    <w:name w:val="Normal12Hanging"/>
    <w:basedOn w:val="Normal12"/>
    <w:pPr>
      <w:ind w:left="357" w:hanging="357"/>
    </w:pPr>
  </w:style>
  <w:style w:type="paragraph" w:customStyle="1" w:styleId="AMNumber">
    <w:name w:val="AMNumber"/>
    <w:basedOn w:val="Normal"/>
    <w:pPr>
      <w:spacing w:before="240"/>
      <w:jc w:val="center"/>
    </w:pPr>
  </w:style>
  <w:style w:type="paragraph" w:customStyle="1" w:styleId="ColHeading">
    <w:name w:val="ColHeading"/>
    <w:basedOn w:val="Normal"/>
    <w:pPr>
      <w:spacing w:after="120"/>
      <w:jc w:val="center"/>
    </w:pPr>
  </w:style>
  <w:style w:type="paragraph" w:customStyle="1" w:styleId="CoverBold">
    <w:name w:val="CoverBold"/>
    <w:basedOn w:val="CoverNormal"/>
    <w:rsid w:val="002574AA"/>
    <w:rPr>
      <w:b/>
    </w:rPr>
  </w:style>
  <w:style w:type="paragraph" w:customStyle="1" w:styleId="Normal24">
    <w:name w:val="Normal24"/>
    <w:basedOn w:val="Normal"/>
    <w:pPr>
      <w:spacing w:after="480"/>
    </w:pPr>
  </w:style>
  <w:style w:type="paragraph" w:customStyle="1" w:styleId="Cover12">
    <w:name w:val="Cover12"/>
    <w:basedOn w:val="Normal12"/>
    <w:pPr>
      <w:ind w:left="1418"/>
    </w:pPr>
  </w:style>
  <w:style w:type="paragraph" w:customStyle="1" w:styleId="Cover24">
    <w:name w:val="Cover24"/>
    <w:basedOn w:val="Normal24"/>
    <w:pPr>
      <w:ind w:left="1418"/>
    </w:pPr>
  </w:style>
  <w:style w:type="paragraph" w:customStyle="1" w:styleId="CoverNormal">
    <w:name w:val="CoverNormal"/>
    <w:basedOn w:val="Normal"/>
    <w:pPr>
      <w:ind w:left="1418"/>
    </w:pPr>
  </w:style>
  <w:style w:type="paragraph" w:customStyle="1" w:styleId="CrossRef">
    <w:name w:val="CrossRef"/>
    <w:basedOn w:val="Normal"/>
    <w:pPr>
      <w:keepNext/>
      <w:spacing w:before="240"/>
      <w:jc w:val="center"/>
    </w:pPr>
    <w:rPr>
      <w:i/>
    </w:rPr>
  </w:style>
  <w:style w:type="paragraph" w:customStyle="1" w:styleId="DocRef">
    <w:name w:val="DocRef"/>
    <w:basedOn w:val="Normal"/>
    <w:pPr>
      <w:spacing w:after="960"/>
      <w:jc w:val="center"/>
    </w:pPr>
    <w:rPr>
      <w:rFonts w:ascii="Arial" w:hAnsi="Arial"/>
      <w:b/>
    </w:rPr>
  </w:style>
  <w:style w:type="paragraph" w:customStyle="1" w:styleId="DocType">
    <w:name w:val="DocType"/>
    <w:basedOn w:val="Normal12"/>
    <w:pPr>
      <w:jc w:val="center"/>
    </w:pPr>
    <w:rPr>
      <w:rFonts w:ascii="Arial" w:hAnsi="Arial"/>
      <w:b/>
      <w:sz w:val="28"/>
    </w:rPr>
  </w:style>
  <w:style w:type="paragraph" w:customStyle="1" w:styleId="EntPE">
    <w:name w:val="EntPE"/>
    <w:basedOn w:val="Normal12"/>
    <w:pPr>
      <w:jc w:val="center"/>
    </w:pPr>
    <w:rPr>
      <w:sz w:val="56"/>
    </w:rPr>
  </w:style>
  <w:style w:type="paragraph" w:customStyle="1" w:styleId="Hanging12">
    <w:name w:val="Hanging12"/>
    <w:basedOn w:val="Normal12"/>
    <w:pPr>
      <w:tabs>
        <w:tab w:val="left" w:pos="357"/>
      </w:tabs>
      <w:ind w:left="357" w:hanging="357"/>
    </w:pPr>
  </w:style>
  <w:style w:type="paragraph" w:customStyle="1" w:styleId="JustificationTitle">
    <w:name w:val="JustificationTitle"/>
    <w:basedOn w:val="Normal12a12b"/>
    <w:next w:val="Normal12"/>
    <w:pPr>
      <w:keepNext/>
      <w:jc w:val="center"/>
    </w:pPr>
    <w:rPr>
      <w:i/>
    </w:rPr>
  </w:style>
  <w:style w:type="paragraph" w:customStyle="1" w:styleId="Normal12a12bBold">
    <w:name w:val="Normal12a12bBold"/>
    <w:basedOn w:val="Normal12a12b"/>
    <w:rPr>
      <w:b/>
    </w:rPr>
  </w:style>
  <w:style w:type="paragraph" w:customStyle="1" w:styleId="Normal12a12bJ">
    <w:name w:val="Normal12a12bJ"/>
    <w:basedOn w:val="Normal12a12b"/>
    <w:pPr>
      <w:jc w:val="both"/>
    </w:pPr>
  </w:style>
  <w:style w:type="paragraph" w:customStyle="1" w:styleId="Normal12a12bKeep">
    <w:name w:val="Normal12a12bKeep"/>
    <w:basedOn w:val="Normal12a12b"/>
    <w:pPr>
      <w:keepNext/>
    </w:pPr>
  </w:style>
  <w:style w:type="paragraph" w:customStyle="1" w:styleId="Normal12BoldKeep">
    <w:name w:val="Normal12BoldKeep"/>
    <w:basedOn w:val="Normal12"/>
    <w:pPr>
      <w:keepNext/>
    </w:pPr>
    <w:rPr>
      <w:b/>
    </w:rPr>
  </w:style>
  <w:style w:type="paragraph" w:customStyle="1" w:styleId="Normal12Centre">
    <w:name w:val="Normal12Centre"/>
    <w:basedOn w:val="Normal12"/>
    <w:pPr>
      <w:jc w:val="center"/>
    </w:pPr>
  </w:style>
  <w:style w:type="paragraph" w:customStyle="1" w:styleId="Normal12ItalicKeep">
    <w:name w:val="Normal12ItalicKeep"/>
    <w:basedOn w:val="Normal12"/>
    <w:pPr>
      <w:keepNext/>
    </w:pPr>
    <w:rPr>
      <w:i/>
    </w:rPr>
  </w:style>
  <w:style w:type="paragraph" w:customStyle="1" w:styleId="Normal12J">
    <w:name w:val="Normal12J"/>
    <w:basedOn w:val="Normal12"/>
    <w:pPr>
      <w:jc w:val="both"/>
    </w:pPr>
  </w:style>
  <w:style w:type="paragraph" w:customStyle="1" w:styleId="Normal12Keep">
    <w:name w:val="Normal12Keep"/>
    <w:basedOn w:val="Normal12"/>
    <w:pPr>
      <w:keepNext/>
    </w:pPr>
  </w:style>
  <w:style w:type="paragraph" w:customStyle="1" w:styleId="Normal12Tab">
    <w:name w:val="Normal12Tab"/>
    <w:basedOn w:val="Normal12"/>
    <w:pPr>
      <w:tabs>
        <w:tab w:val="left" w:pos="357"/>
      </w:tabs>
    </w:pPr>
  </w:style>
  <w:style w:type="paragraph" w:customStyle="1" w:styleId="Normal30Keep">
    <w:name w:val="Normal30Keep"/>
    <w:basedOn w:val="Normal"/>
    <w:pPr>
      <w:keepNext/>
      <w:spacing w:after="600"/>
    </w:pPr>
  </w:style>
  <w:style w:type="paragraph" w:customStyle="1" w:styleId="Normal36Bold">
    <w:name w:val="Normal36Bold"/>
    <w:basedOn w:val="Normal"/>
    <w:pPr>
      <w:spacing w:after="720"/>
    </w:pPr>
    <w:rPr>
      <w:b/>
    </w:rPr>
  </w:style>
  <w:style w:type="paragraph" w:customStyle="1" w:styleId="NormalBoldCentre">
    <w:name w:val="NormalBoldCentre"/>
    <w:basedOn w:val="Normal"/>
    <w:pPr>
      <w:jc w:val="center"/>
    </w:pPr>
    <w:rPr>
      <w:b/>
    </w:rPr>
  </w:style>
  <w:style w:type="paragraph" w:customStyle="1" w:styleId="NormalBoldKeep">
    <w:name w:val="NormalBoldKeep"/>
    <w:basedOn w:val="Normal"/>
    <w:pPr>
      <w:keepNext/>
    </w:pPr>
    <w:rPr>
      <w:b/>
    </w:rPr>
  </w:style>
  <w:style w:type="paragraph" w:customStyle="1" w:styleId="NormalCentre">
    <w:name w:val="NormalCentre"/>
    <w:basedOn w:val="Normal"/>
    <w:pPr>
      <w:jc w:val="center"/>
    </w:pPr>
  </w:style>
  <w:style w:type="paragraph" w:customStyle="1" w:styleId="NormalCentreKeep">
    <w:name w:val="NormalCentreKeep"/>
    <w:basedOn w:val="Normal"/>
    <w:pPr>
      <w:keepNext/>
      <w:jc w:val="center"/>
    </w:pPr>
  </w:style>
  <w:style w:type="paragraph" w:customStyle="1" w:styleId="NormalJ">
    <w:name w:val="NormalJ"/>
    <w:basedOn w:val="Normal"/>
    <w:pPr>
      <w:jc w:val="both"/>
    </w:pPr>
  </w:style>
  <w:style w:type="paragraph" w:customStyle="1" w:styleId="NormalKeep">
    <w:name w:val="NormalKeep"/>
    <w:basedOn w:val="Normal"/>
    <w:pPr>
      <w:keepNext/>
    </w:pPr>
  </w:style>
  <w:style w:type="paragraph" w:customStyle="1" w:styleId="RefProc">
    <w:name w:val="RefProc"/>
    <w:basedOn w:val="Normal"/>
    <w:pPr>
      <w:jc w:val="right"/>
    </w:pPr>
    <w:rPr>
      <w:rFonts w:ascii="Arial" w:hAnsi="Arial"/>
      <w:b/>
      <w:caps/>
    </w:rPr>
  </w:style>
  <w:style w:type="paragraph" w:customStyle="1" w:styleId="RefStatus">
    <w:name w:val="RefStatus"/>
    <w:basedOn w:val="Normal"/>
    <w:pPr>
      <w:jc w:val="right"/>
    </w:pPr>
    <w:rPr>
      <w:rFonts w:ascii="Arial" w:hAnsi="Arial"/>
      <w:caps/>
    </w:rPr>
  </w:style>
  <w:style w:type="paragraph" w:customStyle="1" w:styleId="RefVer">
    <w:name w:val="RefVer"/>
    <w:basedOn w:val="Normal12"/>
    <w:pPr>
      <w:jc w:val="right"/>
    </w:pPr>
    <w:rPr>
      <w:rFonts w:ascii="Arial" w:hAnsi="Arial"/>
    </w:rPr>
  </w:style>
  <w:style w:type="paragraph" w:customStyle="1" w:styleId="StarsAndIs">
    <w:name w:val="StarsAndIs"/>
    <w:basedOn w:val="Normal"/>
    <w:pPr>
      <w:ind w:left="1418"/>
    </w:pPr>
    <w:rPr>
      <w:rFonts w:ascii="Arial" w:hAnsi="Arial"/>
      <w:b/>
      <w:sz w:val="48"/>
    </w:rPr>
  </w:style>
  <w:style w:type="paragraph" w:customStyle="1" w:styleId="Term">
    <w:name w:val="Term"/>
    <w:basedOn w:val="Normal"/>
    <w:pPr>
      <w:jc w:val="center"/>
    </w:pPr>
    <w:rPr>
      <w:i/>
      <w:sz w:val="28"/>
    </w:rPr>
  </w:style>
  <w:style w:type="paragraph" w:customStyle="1" w:styleId="TypeDoc">
    <w:name w:val="TypeDoc"/>
    <w:basedOn w:val="Normal24"/>
    <w:pPr>
      <w:ind w:left="1418"/>
    </w:pPr>
    <w:rPr>
      <w:rFonts w:ascii="Arial" w:hAnsi="Arial"/>
      <w:b/>
      <w:sz w:val="48"/>
    </w:rPr>
  </w:style>
  <w:style w:type="paragraph" w:customStyle="1" w:styleId="ZDateRes">
    <w:name w:val="ZDateRes"/>
    <w:basedOn w:val="Normal"/>
    <w:pPr>
      <w:tabs>
        <w:tab w:val="right" w:pos="9072"/>
      </w:tabs>
      <w:spacing w:before="1920" w:after="1200"/>
    </w:pPr>
  </w:style>
  <w:style w:type="paragraph" w:styleId="stBilgi">
    <w:name w:val="header"/>
    <w:basedOn w:val="Normal"/>
    <w:pPr>
      <w:tabs>
        <w:tab w:val="center" w:pos="4320"/>
        <w:tab w:val="right" w:pos="8640"/>
      </w:tabs>
    </w:pPr>
  </w:style>
  <w:style w:type="table" w:styleId="TabloKlavuzu">
    <w:name w:val="Table Grid"/>
    <w:basedOn w:val="NormalTablo"/>
    <w:rsid w:val="00E5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al"/>
    <w:next w:val="Normal"/>
    <w:rsid w:val="00E53167"/>
    <w:pPr>
      <w:jc w:val="center"/>
    </w:pPr>
    <w:rPr>
      <w:rFonts w:ascii="Arial" w:hAnsi="Arial" w:cs="Arial"/>
      <w:i/>
      <w:sz w:val="22"/>
      <w:szCs w:val="22"/>
    </w:rPr>
  </w:style>
  <w:style w:type="paragraph" w:customStyle="1" w:styleId="LineTop">
    <w:name w:val="LineTop"/>
    <w:basedOn w:val="Normal"/>
    <w:next w:val="ZSessionDoc"/>
    <w:rsid w:val="00E53167"/>
    <w:pPr>
      <w:pBdr>
        <w:top w:val="single" w:sz="4" w:space="1" w:color="auto"/>
      </w:pBdr>
      <w:jc w:val="center"/>
    </w:pPr>
    <w:rPr>
      <w:rFonts w:ascii="Arial" w:hAnsi="Arial"/>
      <w:sz w:val="16"/>
      <w:szCs w:val="16"/>
      <w:lang w:val="fr-FR"/>
    </w:rPr>
  </w:style>
  <w:style w:type="paragraph" w:customStyle="1" w:styleId="LineBottom">
    <w:name w:val="LineBottom"/>
    <w:basedOn w:val="Normal"/>
    <w:next w:val="Normal"/>
    <w:rsid w:val="00E53167"/>
    <w:pPr>
      <w:pBdr>
        <w:bottom w:val="single" w:sz="4" w:space="1" w:color="auto"/>
      </w:pBdr>
      <w:spacing w:after="240"/>
      <w:jc w:val="center"/>
    </w:pPr>
    <w:rPr>
      <w:rFonts w:ascii="Arial" w:hAnsi="Arial"/>
      <w:sz w:val="16"/>
      <w:szCs w:val="16"/>
    </w:rPr>
  </w:style>
  <w:style w:type="paragraph" w:customStyle="1" w:styleId="PELeft">
    <w:name w:val="PELeft"/>
    <w:basedOn w:val="Normal"/>
    <w:rsid w:val="00E53167"/>
    <w:pPr>
      <w:spacing w:before="40" w:after="40"/>
    </w:pPr>
    <w:rPr>
      <w:rFonts w:ascii="Arial" w:hAnsi="Arial" w:cs="Arial"/>
      <w:sz w:val="22"/>
      <w:szCs w:val="22"/>
      <w:lang w:val="fr-FR"/>
    </w:rPr>
  </w:style>
  <w:style w:type="paragraph" w:customStyle="1" w:styleId="PERight">
    <w:name w:val="PERight"/>
    <w:basedOn w:val="Normal"/>
    <w:next w:val="Normal"/>
    <w:rsid w:val="00E53167"/>
    <w:pPr>
      <w:jc w:val="right"/>
    </w:pPr>
    <w:rPr>
      <w:rFonts w:ascii="Arial" w:hAnsi="Arial" w:cs="Arial"/>
      <w:sz w:val="22"/>
      <w:szCs w:val="22"/>
      <w:lang w:val="fr-FR"/>
    </w:rPr>
  </w:style>
  <w:style w:type="paragraph" w:styleId="NormalWeb">
    <w:name w:val="Normal (Web)"/>
    <w:basedOn w:val="Normal"/>
    <w:rsid w:val="008F3DA4"/>
    <w:pPr>
      <w:widowControl/>
      <w:spacing w:before="100" w:beforeAutospacing="1" w:after="100" w:afterAutospacing="1"/>
    </w:pPr>
    <w:rPr>
      <w:szCs w:val="24"/>
    </w:rPr>
  </w:style>
  <w:style w:type="paragraph" w:customStyle="1" w:styleId="normal120">
    <w:name w:val="normal12"/>
    <w:basedOn w:val="Normal"/>
    <w:rsid w:val="00B0764A"/>
    <w:pPr>
      <w:widowControl/>
      <w:spacing w:before="100" w:beforeAutospacing="1" w:after="100" w:afterAutospacing="1"/>
    </w:pPr>
    <w:rPr>
      <w:szCs w:val="24"/>
    </w:rPr>
  </w:style>
  <w:style w:type="character" w:styleId="Kpr">
    <w:name w:val="Hyperlink"/>
    <w:rsid w:val="00EE2F27"/>
    <w:rPr>
      <w:color w:val="003399"/>
      <w:u w:val="single"/>
    </w:rPr>
  </w:style>
  <w:style w:type="paragraph" w:customStyle="1" w:styleId="CarChar">
    <w:name w:val="Car Char"/>
    <w:basedOn w:val="Normal"/>
    <w:rsid w:val="00764CA0"/>
    <w:pPr>
      <w:widowControl/>
      <w:spacing w:after="160" w:line="240" w:lineRule="exact"/>
    </w:pPr>
    <w:rPr>
      <w:rFonts w:ascii="Tahoma" w:hAnsi="Tahoma"/>
      <w:sz w:val="20"/>
      <w:lang w:val="en-US" w:eastAsia="en-US"/>
    </w:rPr>
  </w:style>
  <w:style w:type="character" w:styleId="SayfaNumaras">
    <w:name w:val="page number"/>
    <w:basedOn w:val="VarsaylanParagrafYazTipi"/>
    <w:rsid w:val="00A36ACA"/>
  </w:style>
  <w:style w:type="paragraph" w:styleId="BalonMetni">
    <w:name w:val="Balloon Text"/>
    <w:basedOn w:val="Normal"/>
    <w:semiHidden/>
    <w:rsid w:val="0049383A"/>
    <w:rPr>
      <w:rFonts w:ascii="Tahoma" w:hAnsi="Tahoma" w:cs="Tahoma"/>
      <w:sz w:val="16"/>
      <w:szCs w:val="16"/>
    </w:rPr>
  </w:style>
  <w:style w:type="paragraph" w:customStyle="1" w:styleId="Default">
    <w:name w:val="Default"/>
    <w:rsid w:val="006F7C0F"/>
    <w:pPr>
      <w:autoSpaceDE w:val="0"/>
      <w:autoSpaceDN w:val="0"/>
      <w:adjustRightInd w:val="0"/>
    </w:pPr>
    <w:rPr>
      <w:rFonts w:ascii="Cambria" w:hAnsi="Cambria" w:cs="Cambria"/>
      <w:color w:val="000000"/>
      <w:sz w:val="24"/>
      <w:szCs w:val="24"/>
    </w:rPr>
  </w:style>
  <w:style w:type="paragraph" w:customStyle="1" w:styleId="CM4">
    <w:name w:val="CM4"/>
    <w:basedOn w:val="Default"/>
    <w:next w:val="Default"/>
    <w:rsid w:val="005C3E71"/>
    <w:rPr>
      <w:rFonts w:ascii="EUAlbertina" w:hAnsi="EUAlbertina" w:cs="Times New Roman"/>
      <w:color w:val="auto"/>
    </w:rPr>
  </w:style>
  <w:style w:type="character" w:customStyle="1" w:styleId="ft">
    <w:name w:val="ft"/>
    <w:basedOn w:val="VarsaylanParagrafYazTipi"/>
    <w:rsid w:val="00EB5241"/>
  </w:style>
  <w:style w:type="paragraph" w:customStyle="1" w:styleId="default0">
    <w:name w:val="default"/>
    <w:basedOn w:val="Normal"/>
    <w:rsid w:val="00A96693"/>
    <w:pPr>
      <w:widowControl/>
      <w:spacing w:before="100" w:beforeAutospacing="1" w:after="100" w:afterAutospacing="1"/>
    </w:pPr>
    <w:rPr>
      <w:szCs w:val="24"/>
    </w:rPr>
  </w:style>
  <w:style w:type="character" w:styleId="Gl">
    <w:name w:val="Strong"/>
    <w:qFormat/>
    <w:rsid w:val="00800760"/>
    <w:rPr>
      <w:b/>
      <w:bCs/>
    </w:rPr>
  </w:style>
  <w:style w:type="character" w:customStyle="1" w:styleId="italic1">
    <w:name w:val="italic1"/>
    <w:rsid w:val="00D929A8"/>
    <w:rPr>
      <w:i/>
      <w:iCs/>
    </w:rPr>
  </w:style>
  <w:style w:type="paragraph" w:customStyle="1" w:styleId="a">
    <w:name w:val="Абзац списка"/>
    <w:basedOn w:val="Normal"/>
    <w:qFormat/>
    <w:rsid w:val="0016565F"/>
    <w:pPr>
      <w:widowControl/>
      <w:spacing w:after="200" w:line="276" w:lineRule="auto"/>
      <w:ind w:left="720"/>
      <w:contextualSpacing/>
    </w:pPr>
    <w:rPr>
      <w:rFonts w:ascii="Calibri" w:eastAsia="Calibri" w:hAnsi="Calibri"/>
      <w:sz w:val="22"/>
      <w:szCs w:val="22"/>
      <w:lang w:val="en-US" w:eastAsia="en-US"/>
    </w:rPr>
  </w:style>
  <w:style w:type="character" w:customStyle="1" w:styleId="AltBilgiChar">
    <w:name w:val="Alt Bilgi Char"/>
    <w:link w:val="AltBilgi"/>
    <w:uiPriority w:val="99"/>
    <w:rsid w:val="0026437F"/>
    <w:rPr>
      <w:sz w:val="22"/>
    </w:rPr>
  </w:style>
  <w:style w:type="paragraph" w:styleId="ListeParagraf">
    <w:name w:val="List Paragraph"/>
    <w:basedOn w:val="Normal"/>
    <w:uiPriority w:val="34"/>
    <w:qFormat/>
    <w:rsid w:val="00740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182174">
      <w:bodyDiv w:val="1"/>
      <w:marLeft w:val="0"/>
      <w:marRight w:val="0"/>
      <w:marTop w:val="0"/>
      <w:marBottom w:val="0"/>
      <w:divBdr>
        <w:top w:val="none" w:sz="0" w:space="0" w:color="auto"/>
        <w:left w:val="none" w:sz="0" w:space="0" w:color="auto"/>
        <w:bottom w:val="none" w:sz="0" w:space="0" w:color="auto"/>
        <w:right w:val="none" w:sz="0" w:space="0" w:color="auto"/>
      </w:divBdr>
      <w:divsChild>
        <w:div w:id="1334336645">
          <w:marLeft w:val="0"/>
          <w:marRight w:val="0"/>
          <w:marTop w:val="0"/>
          <w:marBottom w:val="0"/>
          <w:divBdr>
            <w:top w:val="none" w:sz="0" w:space="0" w:color="auto"/>
            <w:left w:val="none" w:sz="0" w:space="0" w:color="auto"/>
            <w:bottom w:val="none" w:sz="0" w:space="0" w:color="auto"/>
            <w:right w:val="none" w:sz="0" w:space="0" w:color="auto"/>
          </w:divBdr>
          <w:divsChild>
            <w:div w:id="70964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901</Words>
  <Characters>5142</Characters>
  <Application>Microsoft Office Word</Application>
  <DocSecurity>0</DocSecurity>
  <Lines>42</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RE_art110</vt:lpstr>
      <vt:lpstr>RE_art110</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RE_art110</dc:title>
  <dc:subject/>
  <dc:creator>akhatchikian</dc:creator>
  <cp:keywords/>
  <dc:description/>
  <cp:lastModifiedBy>AS</cp:lastModifiedBy>
  <cp:revision>6</cp:revision>
  <cp:lastPrinted>2016-11-23T08:27:00Z</cp:lastPrinted>
  <dcterms:created xsi:type="dcterms:W3CDTF">2016-11-23T13:52:00Z</dcterms:created>
  <dcterms:modified xsi:type="dcterms:W3CDTF">2016-11-23T14:25:00Z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EN</vt:lpwstr>
  </property>
  <property fmtid="{D5CDD505-2E9C-101B-9397-08002B2CF9AE}" pid="3" name="Created with">
    <vt:lpwstr>6.5.0 Build [20090226]</vt:lpwstr>
  </property>
  <property fmtid="{D5CDD505-2E9C-101B-9397-08002B2CF9AE}" pid="4" name="LastEdited with">
    <vt:lpwstr>6.5.0 Build [20090226]</vt:lpwstr>
  </property>
  <property fmtid="{D5CDD505-2E9C-101B-9397-08002B2CF9AE}" pid="5" name="&lt;FdR&gt;">
    <vt:lpwstr>eu-russia summit in stockholm on 18 november 2009(091104)</vt:lpwstr>
  </property>
  <property fmtid="{D5CDD505-2E9C-101B-9397-08002B2CF9AE}" pid="6" name="&lt;Type&gt;">
    <vt:lpwstr>RE</vt:lpwstr>
  </property>
  <property fmtid="{D5CDD505-2E9C-101B-9397-08002B2CF9AE}" pid="7" name="&lt;ModelCod&gt;">
    <vt:lpwstr>\\eiciBRUpr1\pdocep$\DocEP\DOCS\Pg\RE\RE_art110.dot(12/06/2009 09:47:37)</vt:lpwstr>
  </property>
  <property fmtid="{D5CDD505-2E9C-101B-9397-08002B2CF9AE}" pid="8" name="&lt;ModelTra&gt;">
    <vt:lpwstr>\\eiciBRUpr1\pdocep$\DocEP\TRANSFIL\EN\RE_art110.EN(12/06/2009 09:47:37)</vt:lpwstr>
  </property>
  <property fmtid="{D5CDD505-2E9C-101B-9397-08002B2CF9AE}" pid="9" name="&lt;ModelVie&gt;">
    <vt:lpwstr>\\eiciBRUpr1\pdocep$\DocEP\Help\VIEWER\EN\RE_art110.htm</vt:lpwstr>
  </property>
  <property fmtid="{D5CDD505-2E9C-101B-9397-08002B2CF9AE}" pid="10" name="&lt;Model&gt;">
    <vt:lpwstr>RE_art110</vt:lpwstr>
  </property>
  <property fmtid="{D5CDD505-2E9C-101B-9397-08002B2CF9AE}" pid="11" name="FooterPath">
    <vt:lpwstr>RE\EU-Russia Summit in Stockholm on 18 November 2009EN.doc</vt:lpwstr>
  </property>
  <property fmtid="{D5CDD505-2E9C-101B-9397-08002B2CF9AE}" pid="12" name="&lt;OpenByDocEP&gt;">
    <vt:lpwstr>OK</vt:lpwstr>
  </property>
</Properties>
</file>